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0" w:type="dxa"/>
        <w:tblCellSpacing w:w="15" w:type="dxa"/>
        <w:tblLook w:val="0000" w:firstRow="0" w:lastRow="0" w:firstColumn="0" w:lastColumn="0" w:noHBand="0" w:noVBand="0"/>
      </w:tblPr>
      <w:tblGrid>
        <w:gridCol w:w="6535"/>
        <w:gridCol w:w="3215"/>
      </w:tblGrid>
      <w:tr w:rsidR="001E498B" w:rsidRPr="007A1695" w14:paraId="6942AB47" w14:textId="77777777">
        <w:trPr>
          <w:tblCellSpacing w:w="15" w:type="dxa"/>
        </w:trPr>
        <w:tc>
          <w:tcPr>
            <w:tcW w:w="3960" w:type="dxa"/>
            <w:tcMar>
              <w:top w:w="15" w:type="dxa"/>
              <w:left w:w="15" w:type="dxa"/>
              <w:bottom w:w="15" w:type="dxa"/>
              <w:right w:w="15" w:type="dxa"/>
            </w:tcMar>
            <w:vAlign w:val="center"/>
          </w:tcPr>
          <w:p w14:paraId="28CAA30D" w14:textId="1C7AEBEE" w:rsidR="005D50D8" w:rsidRDefault="005367F1" w:rsidP="005D50D8">
            <w:pPr>
              <w:pStyle w:val="BlockText"/>
              <w:tabs>
                <w:tab w:val="left" w:pos="4680"/>
                <w:tab w:val="left" w:pos="5580"/>
              </w:tabs>
              <w:ind w:left="5220" w:hanging="5220"/>
              <w:rPr>
                <w:b/>
                <w:sz w:val="22"/>
              </w:rPr>
            </w:pPr>
            <w:r>
              <w:rPr>
                <w:b/>
                <w:noProof/>
              </w:rPr>
              <w:drawing>
                <wp:inline distT="0" distB="0" distL="0" distR="0" wp14:anchorId="3F123EF5" wp14:editId="3A061A37">
                  <wp:extent cx="2184400" cy="825500"/>
                  <wp:effectExtent l="0" t="0" r="0" b="0"/>
                  <wp:docPr id="1" name="Picture 1" descr="NEW WS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EW WSU LOGO"/>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4400" cy="825500"/>
                          </a:xfrm>
                          <a:prstGeom prst="rect">
                            <a:avLst/>
                          </a:prstGeom>
                          <a:noFill/>
                          <a:ln>
                            <a:noFill/>
                          </a:ln>
                        </pic:spPr>
                      </pic:pic>
                    </a:graphicData>
                  </a:graphic>
                </wp:inline>
              </w:drawing>
            </w:r>
            <w:r w:rsidR="005D50D8">
              <w:rPr>
                <w:b/>
              </w:rPr>
              <w:tab/>
            </w:r>
            <w:r w:rsidR="005D50D8">
              <w:rPr>
                <w:b/>
              </w:rPr>
              <w:tab/>
            </w:r>
          </w:p>
          <w:p w14:paraId="00DDFF38" w14:textId="77777777" w:rsidR="001E498B" w:rsidRDefault="001E498B" w:rsidP="001E498B"/>
        </w:tc>
        <w:tc>
          <w:tcPr>
            <w:tcW w:w="5700" w:type="dxa"/>
            <w:tcMar>
              <w:top w:w="15" w:type="dxa"/>
              <w:left w:w="15" w:type="dxa"/>
              <w:bottom w:w="15" w:type="dxa"/>
              <w:right w:w="15" w:type="dxa"/>
            </w:tcMar>
            <w:vAlign w:val="center"/>
          </w:tcPr>
          <w:p w14:paraId="5F94C47C" w14:textId="77777777" w:rsidR="001E498B" w:rsidRDefault="007549E1" w:rsidP="001D5E8B">
            <w:pPr>
              <w:jc w:val="center"/>
            </w:pPr>
            <w:r>
              <w:rPr>
                <w:rFonts w:ascii="Arial" w:hAnsi="Arial" w:cs="Arial"/>
                <w:b/>
                <w:bCs/>
                <w:sz w:val="27"/>
                <w:szCs w:val="27"/>
              </w:rPr>
              <w:t xml:space="preserve">IRB </w:t>
            </w:r>
            <w:r w:rsidR="0014302A">
              <w:rPr>
                <w:rFonts w:ascii="Arial" w:hAnsi="Arial" w:cs="Arial"/>
                <w:b/>
                <w:bCs/>
                <w:sz w:val="27"/>
                <w:szCs w:val="27"/>
              </w:rPr>
              <w:t>Policy</w:t>
            </w:r>
            <w:r w:rsidR="00095658">
              <w:rPr>
                <w:rFonts w:ascii="Arial" w:hAnsi="Arial" w:cs="Arial"/>
                <w:b/>
                <w:bCs/>
                <w:sz w:val="27"/>
                <w:szCs w:val="27"/>
              </w:rPr>
              <w:t xml:space="preserve"> and </w:t>
            </w:r>
            <w:r w:rsidR="001E498B">
              <w:rPr>
                <w:rFonts w:ascii="Arial" w:hAnsi="Arial" w:cs="Arial"/>
                <w:b/>
                <w:bCs/>
                <w:sz w:val="27"/>
                <w:szCs w:val="27"/>
              </w:rPr>
              <w:t>Procedure</w:t>
            </w:r>
          </w:p>
        </w:tc>
      </w:tr>
    </w:tbl>
    <w:p w14:paraId="3DB1AD1E" w14:textId="77777777" w:rsidR="001E498B" w:rsidRDefault="001E498B" w:rsidP="001E498B">
      <w:pPr>
        <w:pStyle w:val="NormalWeb"/>
      </w:pPr>
      <w: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7510"/>
      </w:tblGrid>
      <w:tr w:rsidR="00DC3F20" w14:paraId="3BD37223" w14:textId="77777777" w:rsidTr="009E4EC0">
        <w:tc>
          <w:tcPr>
            <w:tcW w:w="9828" w:type="dxa"/>
            <w:gridSpan w:val="2"/>
            <w:tcBorders>
              <w:top w:val="single" w:sz="4" w:space="0" w:color="auto"/>
              <w:left w:val="single" w:sz="4" w:space="0" w:color="auto"/>
              <w:bottom w:val="single" w:sz="4" w:space="0" w:color="auto"/>
              <w:right w:val="single" w:sz="4" w:space="0" w:color="auto"/>
            </w:tcBorders>
            <w:shd w:val="clear" w:color="auto" w:fill="E6E6E6"/>
          </w:tcPr>
          <w:p w14:paraId="644B2812" w14:textId="77777777" w:rsidR="00DC3F20" w:rsidRDefault="00DC3F20" w:rsidP="009E4EC0">
            <w:pPr>
              <w:jc w:val="center"/>
              <w:rPr>
                <w:rFonts w:cs="Arial"/>
                <w:b/>
                <w:sz w:val="28"/>
              </w:rPr>
            </w:pPr>
            <w:r>
              <w:rPr>
                <w:rFonts w:cs="Arial"/>
                <w:b/>
                <w:sz w:val="28"/>
              </w:rPr>
              <w:t>Wayne State University</w:t>
            </w:r>
          </w:p>
          <w:p w14:paraId="324D2204" w14:textId="77777777" w:rsidR="00DC3F20" w:rsidRDefault="007549E1" w:rsidP="009E4EC0">
            <w:pPr>
              <w:jc w:val="center"/>
              <w:rPr>
                <w:rFonts w:cs="Arial"/>
                <w:b/>
                <w:sz w:val="28"/>
              </w:rPr>
            </w:pPr>
            <w:r>
              <w:rPr>
                <w:rFonts w:cs="Arial"/>
                <w:b/>
                <w:sz w:val="28"/>
              </w:rPr>
              <w:t>Institutional Review Board</w:t>
            </w:r>
          </w:p>
          <w:p w14:paraId="541EC75F" w14:textId="77777777" w:rsidR="00DC3F20" w:rsidRDefault="00DC3F20" w:rsidP="009E4EC0">
            <w:pPr>
              <w:jc w:val="center"/>
              <w:rPr>
                <w:rFonts w:ascii="Arial" w:hAnsi="Arial" w:cs="Arial"/>
                <w:b/>
              </w:rPr>
            </w:pPr>
          </w:p>
        </w:tc>
      </w:tr>
      <w:tr w:rsidR="00DC3F20" w14:paraId="7D509FC6" w14:textId="77777777" w:rsidTr="009E4EC0">
        <w:tc>
          <w:tcPr>
            <w:tcW w:w="2318" w:type="dxa"/>
            <w:tcBorders>
              <w:top w:val="single" w:sz="4" w:space="0" w:color="auto"/>
              <w:left w:val="single" w:sz="4" w:space="0" w:color="auto"/>
              <w:bottom w:val="single" w:sz="4" w:space="0" w:color="auto"/>
              <w:right w:val="single" w:sz="4" w:space="0" w:color="auto"/>
            </w:tcBorders>
          </w:tcPr>
          <w:p w14:paraId="39CE6E66" w14:textId="77777777" w:rsidR="00DC3F20" w:rsidRDefault="00DC3F20" w:rsidP="009E4EC0">
            <w:pPr>
              <w:rPr>
                <w:rFonts w:ascii="Arial" w:hAnsi="Arial" w:cs="Arial"/>
                <w:b/>
              </w:rPr>
            </w:pPr>
            <w:r>
              <w:rPr>
                <w:rFonts w:ascii="Arial" w:hAnsi="Arial" w:cs="Arial"/>
                <w:b/>
              </w:rPr>
              <w:t>SUBJECT</w:t>
            </w:r>
          </w:p>
        </w:tc>
        <w:tc>
          <w:tcPr>
            <w:tcW w:w="7510" w:type="dxa"/>
            <w:tcBorders>
              <w:top w:val="single" w:sz="4" w:space="0" w:color="auto"/>
              <w:left w:val="single" w:sz="4" w:space="0" w:color="auto"/>
              <w:bottom w:val="single" w:sz="4" w:space="0" w:color="auto"/>
              <w:right w:val="single" w:sz="4" w:space="0" w:color="auto"/>
            </w:tcBorders>
          </w:tcPr>
          <w:p w14:paraId="3F6E160C" w14:textId="30FBF299" w:rsidR="00DC3F20" w:rsidRDefault="005F2883" w:rsidP="00DC3F20">
            <w:pPr>
              <w:pStyle w:val="Heading1"/>
              <w:rPr>
                <w:b w:val="0"/>
              </w:rPr>
            </w:pPr>
            <w:r>
              <w:rPr>
                <w:b w:val="0"/>
              </w:rPr>
              <w:t xml:space="preserve">4-19 </w:t>
            </w:r>
            <w:r w:rsidR="00A814F2">
              <w:rPr>
                <w:b w:val="0"/>
              </w:rPr>
              <w:t>Public Health Crisis Emergency Response</w:t>
            </w:r>
          </w:p>
        </w:tc>
      </w:tr>
      <w:tr w:rsidR="00DC3F20" w14:paraId="407DAC81" w14:textId="77777777" w:rsidTr="005F2883">
        <w:trPr>
          <w:trHeight w:val="368"/>
        </w:trPr>
        <w:tc>
          <w:tcPr>
            <w:tcW w:w="2318" w:type="dxa"/>
            <w:tcBorders>
              <w:top w:val="single" w:sz="4" w:space="0" w:color="auto"/>
              <w:left w:val="single" w:sz="4" w:space="0" w:color="auto"/>
              <w:bottom w:val="single" w:sz="4" w:space="0" w:color="auto"/>
              <w:right w:val="single" w:sz="4" w:space="0" w:color="auto"/>
            </w:tcBorders>
          </w:tcPr>
          <w:p w14:paraId="190E71D5" w14:textId="77777777" w:rsidR="00DC3F20" w:rsidRDefault="00DC3F20" w:rsidP="009E4EC0">
            <w:pPr>
              <w:rPr>
                <w:rFonts w:ascii="Arial" w:hAnsi="Arial" w:cs="Arial"/>
                <w:b/>
              </w:rPr>
            </w:pPr>
            <w:r>
              <w:rPr>
                <w:rFonts w:ascii="Arial" w:hAnsi="Arial" w:cs="Arial"/>
                <w:b/>
              </w:rPr>
              <w:t>Approvals</w:t>
            </w:r>
          </w:p>
        </w:tc>
        <w:tc>
          <w:tcPr>
            <w:tcW w:w="7510" w:type="dxa"/>
            <w:tcBorders>
              <w:top w:val="single" w:sz="4" w:space="0" w:color="auto"/>
              <w:left w:val="single" w:sz="4" w:space="0" w:color="auto"/>
              <w:bottom w:val="single" w:sz="4" w:space="0" w:color="auto"/>
              <w:right w:val="single" w:sz="4" w:space="0" w:color="auto"/>
            </w:tcBorders>
          </w:tcPr>
          <w:p w14:paraId="5A31B871" w14:textId="08C544D8" w:rsidR="00DC3F20" w:rsidRDefault="005F2883" w:rsidP="00FD7BCD">
            <w:pPr>
              <w:rPr>
                <w:rFonts w:ascii="Arial" w:hAnsi="Arial" w:cs="Arial"/>
              </w:rPr>
            </w:pPr>
            <w:r>
              <w:rPr>
                <w:rFonts w:cs="Arial"/>
              </w:rPr>
              <w:t>Administrative, Office of General Counsel &amp; IRB Committee Approval: 04/2020</w:t>
            </w:r>
          </w:p>
        </w:tc>
      </w:tr>
    </w:tbl>
    <w:p w14:paraId="304FA875" w14:textId="77777777" w:rsidR="00702B36" w:rsidRDefault="00702B36"/>
    <w:p w14:paraId="7AFE50F0" w14:textId="77777777" w:rsidR="00DC3F20" w:rsidRDefault="00DC3F20">
      <w:pPr>
        <w:rPr>
          <w:b/>
          <w:sz w:val="28"/>
        </w:rPr>
      </w:pPr>
      <w:r>
        <w:rPr>
          <w:b/>
          <w:sz w:val="28"/>
        </w:rPr>
        <w:t>Background</w:t>
      </w:r>
    </w:p>
    <w:p w14:paraId="09740F7C" w14:textId="77777777" w:rsidR="00800E54" w:rsidRDefault="00800E54" w:rsidP="00800E54">
      <w:pPr>
        <w:tabs>
          <w:tab w:val="left" w:pos="1440"/>
          <w:tab w:val="right" w:pos="1620"/>
          <w:tab w:val="left" w:pos="1800"/>
        </w:tabs>
        <w:rPr>
          <w:szCs w:val="24"/>
        </w:rPr>
      </w:pPr>
    </w:p>
    <w:p w14:paraId="4482CB1C" w14:textId="77777777" w:rsidR="00800E54" w:rsidRDefault="00800E54" w:rsidP="00800E54">
      <w:pPr>
        <w:tabs>
          <w:tab w:val="left" w:pos="1440"/>
          <w:tab w:val="right" w:pos="1620"/>
          <w:tab w:val="left" w:pos="1800"/>
        </w:tabs>
        <w:rPr>
          <w:szCs w:val="24"/>
        </w:rPr>
      </w:pPr>
      <w:r>
        <w:rPr>
          <w:szCs w:val="24"/>
        </w:rPr>
        <w:t xml:space="preserve">Research operations may be impacted in many different ways when a Public Health Crisis affects the local community. When the IRB learns of a public health crisis that may impact standard operating procedures, leadership teams will come together to draft various contingency plans to prepare for any potential disruptions in standard operating procedures. </w:t>
      </w:r>
    </w:p>
    <w:p w14:paraId="68B6BA73" w14:textId="77777777" w:rsidR="00800E54" w:rsidRDefault="00800E54">
      <w:pPr>
        <w:rPr>
          <w:b/>
          <w:sz w:val="28"/>
        </w:rPr>
      </w:pPr>
    </w:p>
    <w:p w14:paraId="451BC058" w14:textId="77777777" w:rsidR="00181E62" w:rsidRDefault="00181E62" w:rsidP="00A814F2">
      <w:pPr>
        <w:pStyle w:val="Default"/>
        <w:rPr>
          <w:rFonts w:ascii="Arial Narrow" w:hAnsi="Arial Narrow"/>
        </w:rPr>
      </w:pPr>
      <w:r w:rsidRPr="003603D6">
        <w:rPr>
          <w:rFonts w:ascii="Arial Narrow" w:hAnsi="Arial Narrow"/>
          <w:b/>
        </w:rPr>
        <w:t>Considerations for Ongoing Research</w:t>
      </w:r>
      <w:r w:rsidRPr="00F9703D">
        <w:rPr>
          <w:rFonts w:ascii="Arial Narrow" w:hAnsi="Arial Narrow"/>
        </w:rPr>
        <w:t xml:space="preserve">: </w:t>
      </w:r>
    </w:p>
    <w:p w14:paraId="54AEBF64" w14:textId="77777777" w:rsidR="00F9703D" w:rsidRPr="00F9703D" w:rsidRDefault="00F9703D" w:rsidP="00A814F2">
      <w:pPr>
        <w:pStyle w:val="Default"/>
        <w:rPr>
          <w:rFonts w:ascii="Arial Narrow" w:hAnsi="Arial Narrow"/>
        </w:rPr>
      </w:pPr>
    </w:p>
    <w:p w14:paraId="4EF14DD9" w14:textId="77777777" w:rsidR="003603D6" w:rsidRDefault="00181E62" w:rsidP="00A814F2">
      <w:pPr>
        <w:pStyle w:val="Default"/>
        <w:rPr>
          <w:rFonts w:ascii="Arial Narrow" w:hAnsi="Arial Narrow"/>
        </w:rPr>
      </w:pPr>
      <w:r w:rsidRPr="00F9703D">
        <w:rPr>
          <w:rFonts w:ascii="Arial Narrow" w:hAnsi="Arial Narrow"/>
        </w:rPr>
        <w:t>1. Whether the research involves in-person contact with participants</w:t>
      </w:r>
      <w:r w:rsidR="003603D6">
        <w:rPr>
          <w:rFonts w:ascii="Arial Narrow" w:hAnsi="Arial Narrow"/>
        </w:rPr>
        <w:t>.</w:t>
      </w:r>
    </w:p>
    <w:p w14:paraId="1A44549A" w14:textId="77777777" w:rsidR="00181E62" w:rsidRPr="00F9703D" w:rsidRDefault="00181E62" w:rsidP="00A814F2">
      <w:pPr>
        <w:pStyle w:val="Default"/>
        <w:rPr>
          <w:rFonts w:ascii="Arial Narrow" w:hAnsi="Arial Narrow"/>
        </w:rPr>
      </w:pPr>
      <w:r w:rsidRPr="00F9703D">
        <w:rPr>
          <w:rFonts w:ascii="Arial Narrow" w:hAnsi="Arial Narrow"/>
        </w:rPr>
        <w:t xml:space="preserve"> </w:t>
      </w:r>
    </w:p>
    <w:p w14:paraId="4A6E5875" w14:textId="77777777" w:rsidR="00181E62" w:rsidRDefault="00181E62" w:rsidP="00A814F2">
      <w:pPr>
        <w:pStyle w:val="Default"/>
        <w:rPr>
          <w:rFonts w:ascii="Arial Narrow" w:hAnsi="Arial Narrow"/>
        </w:rPr>
      </w:pPr>
      <w:r w:rsidRPr="00F9703D">
        <w:rPr>
          <w:rFonts w:ascii="Arial Narrow" w:hAnsi="Arial Narrow"/>
        </w:rPr>
        <w:t>2. The locations and facilities where research activities take place</w:t>
      </w:r>
      <w:r w:rsidR="003603D6">
        <w:rPr>
          <w:rFonts w:ascii="Arial Narrow" w:hAnsi="Arial Narrow"/>
        </w:rPr>
        <w:t>.</w:t>
      </w:r>
    </w:p>
    <w:p w14:paraId="06446968" w14:textId="77777777" w:rsidR="003603D6" w:rsidRPr="00F9703D" w:rsidRDefault="003603D6" w:rsidP="00A814F2">
      <w:pPr>
        <w:pStyle w:val="Default"/>
        <w:rPr>
          <w:rFonts w:ascii="Arial Narrow" w:hAnsi="Arial Narrow"/>
        </w:rPr>
      </w:pPr>
    </w:p>
    <w:p w14:paraId="098C79A6" w14:textId="77777777" w:rsidR="00181E62" w:rsidRDefault="00181E62" w:rsidP="00A814F2">
      <w:pPr>
        <w:pStyle w:val="Default"/>
        <w:rPr>
          <w:rFonts w:ascii="Arial Narrow" w:hAnsi="Arial Narrow"/>
        </w:rPr>
      </w:pPr>
      <w:r w:rsidRPr="00F9703D">
        <w:rPr>
          <w:rFonts w:ascii="Arial Narrow" w:hAnsi="Arial Narrow"/>
        </w:rPr>
        <w:t>3. The prevalence of the contagion and the risk of exposure both due to geographical location and the facility types (e.g., hos</w:t>
      </w:r>
      <w:r w:rsidR="003603D6">
        <w:rPr>
          <w:rFonts w:ascii="Arial Narrow" w:hAnsi="Arial Narrow"/>
        </w:rPr>
        <w:t>pitals, clinics, schools, etc.).</w:t>
      </w:r>
    </w:p>
    <w:p w14:paraId="6D2397FD" w14:textId="77777777" w:rsidR="003603D6" w:rsidRPr="00F9703D" w:rsidRDefault="003603D6" w:rsidP="00A814F2">
      <w:pPr>
        <w:pStyle w:val="Default"/>
        <w:rPr>
          <w:rFonts w:ascii="Arial Narrow" w:hAnsi="Arial Narrow"/>
        </w:rPr>
      </w:pPr>
    </w:p>
    <w:p w14:paraId="098AB814" w14:textId="77777777" w:rsidR="00181E62" w:rsidRDefault="00181E62" w:rsidP="00A814F2">
      <w:pPr>
        <w:pStyle w:val="Default"/>
        <w:rPr>
          <w:rFonts w:ascii="Arial Narrow" w:hAnsi="Arial Narrow"/>
        </w:rPr>
      </w:pPr>
      <w:r w:rsidRPr="00F9703D">
        <w:rPr>
          <w:rFonts w:ascii="Arial Narrow" w:hAnsi="Arial Narrow"/>
        </w:rPr>
        <w:t xml:space="preserve">4. Any requirements or restrictions that have been or may be put into place at a national, regional, organizational or facility level and how these impact the research (e.g., travel restrictions, school closings, remote </w:t>
      </w:r>
      <w:r w:rsidR="003603D6">
        <w:rPr>
          <w:rFonts w:ascii="Arial Narrow" w:hAnsi="Arial Narrow"/>
        </w:rPr>
        <w:t>work mandates, etc.).</w:t>
      </w:r>
    </w:p>
    <w:p w14:paraId="29C491C9" w14:textId="77777777" w:rsidR="003603D6" w:rsidRPr="00F9703D" w:rsidRDefault="003603D6" w:rsidP="00A814F2">
      <w:pPr>
        <w:pStyle w:val="Default"/>
        <w:rPr>
          <w:rFonts w:ascii="Arial Narrow" w:hAnsi="Arial Narrow"/>
        </w:rPr>
      </w:pPr>
    </w:p>
    <w:p w14:paraId="7519A089" w14:textId="77777777" w:rsidR="003603D6" w:rsidRDefault="00181E62" w:rsidP="00A814F2">
      <w:pPr>
        <w:pStyle w:val="Default"/>
        <w:rPr>
          <w:rFonts w:ascii="Arial Narrow" w:hAnsi="Arial Narrow"/>
        </w:rPr>
      </w:pPr>
      <w:r w:rsidRPr="00F9703D">
        <w:rPr>
          <w:rFonts w:ascii="Arial Narrow" w:hAnsi="Arial Narrow"/>
        </w:rPr>
        <w:t>5. The study population and their risk profile</w:t>
      </w:r>
      <w:r w:rsidR="003603D6">
        <w:rPr>
          <w:rFonts w:ascii="Arial Narrow" w:hAnsi="Arial Narrow"/>
        </w:rPr>
        <w:t>.</w:t>
      </w:r>
    </w:p>
    <w:p w14:paraId="7330A3C6" w14:textId="77777777" w:rsidR="00181E62" w:rsidRPr="00F9703D" w:rsidRDefault="00181E62" w:rsidP="00A814F2">
      <w:pPr>
        <w:pStyle w:val="Default"/>
        <w:rPr>
          <w:rFonts w:ascii="Arial Narrow" w:hAnsi="Arial Narrow"/>
        </w:rPr>
      </w:pPr>
      <w:r w:rsidRPr="00F9703D">
        <w:rPr>
          <w:rFonts w:ascii="Arial Narrow" w:hAnsi="Arial Narrow"/>
        </w:rPr>
        <w:t xml:space="preserve"> </w:t>
      </w:r>
    </w:p>
    <w:p w14:paraId="2C07D473" w14:textId="77777777" w:rsidR="00181E62" w:rsidRDefault="00181E62" w:rsidP="00A814F2">
      <w:pPr>
        <w:pStyle w:val="Default"/>
        <w:rPr>
          <w:rFonts w:ascii="Arial Narrow" w:hAnsi="Arial Narrow"/>
        </w:rPr>
      </w:pPr>
      <w:r w:rsidRPr="00F9703D">
        <w:rPr>
          <w:rFonts w:ascii="Arial Narrow" w:hAnsi="Arial Narrow"/>
        </w:rPr>
        <w:t>6. The risk profiles of investigators and staff, and their likely availability</w:t>
      </w:r>
      <w:r w:rsidR="003603D6">
        <w:rPr>
          <w:rFonts w:ascii="Arial Narrow" w:hAnsi="Arial Narrow"/>
        </w:rPr>
        <w:t>.</w:t>
      </w:r>
    </w:p>
    <w:p w14:paraId="436DFA72" w14:textId="77777777" w:rsidR="00417E17" w:rsidRDefault="00417E17" w:rsidP="00A814F2">
      <w:pPr>
        <w:pStyle w:val="Default"/>
        <w:rPr>
          <w:rFonts w:ascii="Arial Narrow" w:hAnsi="Arial Narrow"/>
        </w:rPr>
      </w:pPr>
    </w:p>
    <w:p w14:paraId="6D2DC9DE" w14:textId="77777777" w:rsidR="00417E17" w:rsidRDefault="00417E17" w:rsidP="00A814F2">
      <w:pPr>
        <w:pStyle w:val="Default"/>
        <w:rPr>
          <w:rFonts w:ascii="Arial Narrow" w:hAnsi="Arial Narrow"/>
        </w:rPr>
      </w:pPr>
      <w:r>
        <w:rPr>
          <w:rFonts w:ascii="Arial Narrow" w:hAnsi="Arial Narrow"/>
        </w:rPr>
        <w:t xml:space="preserve">7. The possibility and likelihood of investigators, staff, and </w:t>
      </w:r>
      <w:r w:rsidR="00D17DFE">
        <w:rPr>
          <w:rFonts w:ascii="Arial Narrow" w:hAnsi="Arial Narrow"/>
        </w:rPr>
        <w:t>supplies or equipment</w:t>
      </w:r>
      <w:r>
        <w:rPr>
          <w:rFonts w:ascii="Arial Narrow" w:hAnsi="Arial Narrow"/>
        </w:rPr>
        <w:t xml:space="preserve"> being diverted to meet a critical need</w:t>
      </w:r>
      <w:r w:rsidR="00D17DFE">
        <w:rPr>
          <w:rFonts w:ascii="Arial Narrow" w:hAnsi="Arial Narrow"/>
        </w:rPr>
        <w:t>.</w:t>
      </w:r>
    </w:p>
    <w:p w14:paraId="10A63D6A" w14:textId="77777777" w:rsidR="003603D6" w:rsidRPr="00F9703D" w:rsidRDefault="003603D6" w:rsidP="00A814F2">
      <w:pPr>
        <w:pStyle w:val="Default"/>
        <w:rPr>
          <w:rFonts w:ascii="Arial Narrow" w:hAnsi="Arial Narrow"/>
        </w:rPr>
      </w:pPr>
    </w:p>
    <w:p w14:paraId="548ED769" w14:textId="77777777" w:rsidR="003603D6" w:rsidRDefault="00417E17" w:rsidP="00A814F2">
      <w:pPr>
        <w:pStyle w:val="Default"/>
        <w:rPr>
          <w:rFonts w:ascii="Arial Narrow" w:hAnsi="Arial Narrow"/>
        </w:rPr>
      </w:pPr>
      <w:r>
        <w:rPr>
          <w:rFonts w:ascii="Arial Narrow" w:hAnsi="Arial Narrow"/>
        </w:rPr>
        <w:t>8</w:t>
      </w:r>
      <w:r w:rsidR="00181E62" w:rsidRPr="00F9703D">
        <w:rPr>
          <w:rFonts w:ascii="Arial Narrow" w:hAnsi="Arial Narrow"/>
        </w:rPr>
        <w:t>. Whether there are opportunities to conduct certain research activities remotely (e.g., telemedicine, videoconference, phone, electronic surveys) or in alternative settings (e.g., at an outpatient phlebotomy center vs. a hospital-based center)</w:t>
      </w:r>
      <w:r w:rsidR="003603D6">
        <w:rPr>
          <w:rFonts w:ascii="Arial Narrow" w:hAnsi="Arial Narrow"/>
        </w:rPr>
        <w:t>.</w:t>
      </w:r>
    </w:p>
    <w:p w14:paraId="06EAB110" w14:textId="77777777" w:rsidR="00181E62" w:rsidRPr="00F9703D" w:rsidRDefault="00181E62" w:rsidP="00A814F2">
      <w:pPr>
        <w:pStyle w:val="Default"/>
        <w:rPr>
          <w:rFonts w:ascii="Arial Narrow" w:hAnsi="Arial Narrow"/>
        </w:rPr>
      </w:pPr>
      <w:r w:rsidRPr="00F9703D">
        <w:rPr>
          <w:rFonts w:ascii="Arial Narrow" w:hAnsi="Arial Narrow"/>
        </w:rPr>
        <w:t xml:space="preserve"> </w:t>
      </w:r>
    </w:p>
    <w:p w14:paraId="74976516" w14:textId="77777777" w:rsidR="00181E62" w:rsidRDefault="00417E17" w:rsidP="00A814F2">
      <w:pPr>
        <w:pStyle w:val="Default"/>
        <w:rPr>
          <w:rFonts w:ascii="Arial Narrow" w:hAnsi="Arial Narrow"/>
        </w:rPr>
      </w:pPr>
      <w:r>
        <w:rPr>
          <w:rFonts w:ascii="Arial Narrow" w:hAnsi="Arial Narrow"/>
        </w:rPr>
        <w:t>9</w:t>
      </w:r>
      <w:r w:rsidR="00181E62" w:rsidRPr="00F9703D">
        <w:rPr>
          <w:rFonts w:ascii="Arial Narrow" w:hAnsi="Arial Narrow"/>
        </w:rPr>
        <w:t>. Whether investigational product and any subject materials may be delivered directly to participants rather than having them come on-site</w:t>
      </w:r>
      <w:r w:rsidR="003603D6">
        <w:rPr>
          <w:rFonts w:ascii="Arial Narrow" w:hAnsi="Arial Narrow"/>
        </w:rPr>
        <w:t>.</w:t>
      </w:r>
    </w:p>
    <w:p w14:paraId="6F0DF89F" w14:textId="77777777" w:rsidR="003603D6" w:rsidRPr="00F9703D" w:rsidRDefault="003603D6" w:rsidP="00A814F2">
      <w:pPr>
        <w:pStyle w:val="Default"/>
        <w:rPr>
          <w:rFonts w:ascii="Arial Narrow" w:hAnsi="Arial Narrow"/>
        </w:rPr>
      </w:pPr>
    </w:p>
    <w:p w14:paraId="0607E0E1" w14:textId="77777777" w:rsidR="00181E62" w:rsidRDefault="00417E17" w:rsidP="00A814F2">
      <w:pPr>
        <w:pStyle w:val="Default"/>
        <w:rPr>
          <w:rFonts w:ascii="Arial Narrow" w:hAnsi="Arial Narrow"/>
        </w:rPr>
      </w:pPr>
      <w:r>
        <w:rPr>
          <w:rFonts w:ascii="Arial Narrow" w:hAnsi="Arial Narrow"/>
        </w:rPr>
        <w:t>10</w:t>
      </w:r>
      <w:r w:rsidR="00181E62" w:rsidRPr="00F9703D">
        <w:rPr>
          <w:rFonts w:ascii="Arial Narrow" w:hAnsi="Arial Narrow"/>
        </w:rPr>
        <w:t>. Whether and how any interruptions in standard care will impact the research</w:t>
      </w:r>
      <w:r w:rsidR="003603D6">
        <w:rPr>
          <w:rFonts w:ascii="Arial Narrow" w:hAnsi="Arial Narrow"/>
        </w:rPr>
        <w:t>.</w:t>
      </w:r>
    </w:p>
    <w:p w14:paraId="774AC79D" w14:textId="77777777" w:rsidR="00417E17" w:rsidRDefault="00417E17" w:rsidP="00A814F2">
      <w:pPr>
        <w:pStyle w:val="Default"/>
        <w:rPr>
          <w:rFonts w:ascii="Arial Narrow" w:hAnsi="Arial Narrow"/>
        </w:rPr>
      </w:pPr>
    </w:p>
    <w:p w14:paraId="0AD8D4DD" w14:textId="77777777" w:rsidR="00417E17" w:rsidRDefault="00417E17" w:rsidP="00A814F2">
      <w:pPr>
        <w:pStyle w:val="Default"/>
        <w:rPr>
          <w:rFonts w:ascii="Arial Narrow" w:hAnsi="Arial Narrow"/>
        </w:rPr>
      </w:pPr>
      <w:r>
        <w:rPr>
          <w:rFonts w:ascii="Arial Narrow" w:hAnsi="Arial Narrow"/>
        </w:rPr>
        <w:lastRenderedPageBreak/>
        <w:t>11. Whether there are opportunities to coordinate research activities (e.g., safety assessments) with other essential patient care visits</w:t>
      </w:r>
      <w:r w:rsidR="00D17DFE">
        <w:rPr>
          <w:rFonts w:ascii="Arial Narrow" w:hAnsi="Arial Narrow"/>
        </w:rPr>
        <w:t>.</w:t>
      </w:r>
    </w:p>
    <w:p w14:paraId="3B6ADB75" w14:textId="77777777" w:rsidR="003603D6" w:rsidRPr="00F9703D" w:rsidRDefault="003603D6" w:rsidP="00A814F2">
      <w:pPr>
        <w:pStyle w:val="Default"/>
        <w:rPr>
          <w:rFonts w:ascii="Arial Narrow" w:hAnsi="Arial Narrow"/>
        </w:rPr>
      </w:pPr>
    </w:p>
    <w:p w14:paraId="0D71E1B0" w14:textId="77777777" w:rsidR="00181E62" w:rsidRDefault="00181E62" w:rsidP="00A814F2">
      <w:pPr>
        <w:pStyle w:val="Default"/>
        <w:rPr>
          <w:rFonts w:ascii="Arial Narrow" w:hAnsi="Arial Narrow"/>
        </w:rPr>
      </w:pPr>
      <w:r w:rsidRPr="00F9703D">
        <w:rPr>
          <w:rFonts w:ascii="Arial Narrow" w:hAnsi="Arial Narrow"/>
        </w:rPr>
        <w:t>10. Whether all or a subset of research act</w:t>
      </w:r>
      <w:r w:rsidR="003603D6">
        <w:rPr>
          <w:rFonts w:ascii="Arial Narrow" w:hAnsi="Arial Narrow"/>
        </w:rPr>
        <w:t>ivities may be safely paused.</w:t>
      </w:r>
    </w:p>
    <w:p w14:paraId="64EBC9AB" w14:textId="77777777" w:rsidR="003603D6" w:rsidRPr="00F9703D" w:rsidRDefault="003603D6" w:rsidP="00A814F2">
      <w:pPr>
        <w:pStyle w:val="Default"/>
        <w:rPr>
          <w:rFonts w:ascii="Arial Narrow" w:hAnsi="Arial Narrow"/>
        </w:rPr>
      </w:pPr>
    </w:p>
    <w:p w14:paraId="44A48FD2" w14:textId="77777777" w:rsidR="00181E62" w:rsidRDefault="00181E62" w:rsidP="00A814F2">
      <w:pPr>
        <w:pStyle w:val="Default"/>
        <w:rPr>
          <w:rFonts w:ascii="Arial Narrow" w:hAnsi="Arial Narrow"/>
        </w:rPr>
      </w:pPr>
      <w:r w:rsidRPr="00F9703D">
        <w:rPr>
          <w:rFonts w:ascii="Arial Narrow" w:hAnsi="Arial Narrow"/>
        </w:rPr>
        <w:t>11. The necessity or importance of continuing t</w:t>
      </w:r>
      <w:r w:rsidR="003603D6">
        <w:rPr>
          <w:rFonts w:ascii="Arial Narrow" w:hAnsi="Arial Narrow"/>
        </w:rPr>
        <w:t>he research during the public health crisis</w:t>
      </w:r>
      <w:r w:rsidR="00D17DFE">
        <w:rPr>
          <w:rFonts w:ascii="Arial Narrow" w:hAnsi="Arial Narrow"/>
        </w:rPr>
        <w:t xml:space="preserve"> (e.g., is the research essential or non-essential)</w:t>
      </w:r>
    </w:p>
    <w:p w14:paraId="782E37F0" w14:textId="77777777" w:rsidR="003603D6" w:rsidRPr="00F9703D" w:rsidRDefault="003603D6" w:rsidP="00A814F2">
      <w:pPr>
        <w:pStyle w:val="Default"/>
        <w:rPr>
          <w:rFonts w:ascii="Arial Narrow" w:hAnsi="Arial Narrow"/>
        </w:rPr>
      </w:pPr>
    </w:p>
    <w:p w14:paraId="2024EB6C" w14:textId="3A70C13C" w:rsidR="00181E62" w:rsidRDefault="00181E62" w:rsidP="00A814F2">
      <w:pPr>
        <w:pStyle w:val="Default"/>
        <w:rPr>
          <w:rFonts w:ascii="Arial Narrow" w:hAnsi="Arial Narrow"/>
        </w:rPr>
      </w:pPr>
      <w:r w:rsidRPr="00F9703D">
        <w:rPr>
          <w:rFonts w:ascii="Arial Narrow" w:hAnsi="Arial Narrow"/>
        </w:rPr>
        <w:t>12. The risks of exposure (for all) compared to the potential for benefit</w:t>
      </w:r>
      <w:r w:rsidR="003603D6">
        <w:rPr>
          <w:rFonts w:ascii="Arial Narrow" w:hAnsi="Arial Narrow"/>
        </w:rPr>
        <w:t>.</w:t>
      </w:r>
    </w:p>
    <w:p w14:paraId="12B1EA60" w14:textId="0DD178E9" w:rsidR="00730A77" w:rsidRDefault="00730A77" w:rsidP="00A814F2">
      <w:pPr>
        <w:pStyle w:val="Default"/>
        <w:rPr>
          <w:rFonts w:ascii="Arial Narrow" w:hAnsi="Arial Narrow"/>
        </w:rPr>
      </w:pPr>
    </w:p>
    <w:p w14:paraId="38184987" w14:textId="71F7056F" w:rsidR="00730A77" w:rsidRPr="00F9703D" w:rsidRDefault="00730A77" w:rsidP="00A814F2">
      <w:pPr>
        <w:pStyle w:val="Default"/>
        <w:rPr>
          <w:rFonts w:ascii="Arial Narrow" w:hAnsi="Arial Narrow"/>
          <w:iCs/>
        </w:rPr>
      </w:pPr>
      <w:r>
        <w:rPr>
          <w:rFonts w:ascii="Arial Narrow" w:hAnsi="Arial Narrow"/>
        </w:rPr>
        <w:t>13. The availability of emergency medical services.</w:t>
      </w:r>
    </w:p>
    <w:p w14:paraId="4368642D" w14:textId="77777777" w:rsidR="00181E62" w:rsidRDefault="00181E62" w:rsidP="00A814F2">
      <w:pPr>
        <w:pStyle w:val="Default"/>
        <w:rPr>
          <w:rFonts w:ascii="Arial Narrow" w:hAnsi="Arial Narrow"/>
          <w:iCs/>
        </w:rPr>
      </w:pPr>
    </w:p>
    <w:p w14:paraId="16D7F94D" w14:textId="77777777" w:rsidR="00F9703D" w:rsidRDefault="00F9703D" w:rsidP="00A814F2">
      <w:pPr>
        <w:pStyle w:val="Default"/>
        <w:rPr>
          <w:rFonts w:ascii="Arial Narrow" w:hAnsi="Arial Narrow"/>
        </w:rPr>
      </w:pPr>
    </w:p>
    <w:p w14:paraId="7683C879" w14:textId="77777777" w:rsidR="00181E62" w:rsidRPr="00F9703D" w:rsidRDefault="00800E54" w:rsidP="00A814F2">
      <w:pPr>
        <w:pStyle w:val="Default"/>
        <w:rPr>
          <w:rFonts w:ascii="Arial Narrow" w:hAnsi="Arial Narrow"/>
        </w:rPr>
      </w:pPr>
      <w:r w:rsidRPr="003603D6">
        <w:rPr>
          <w:rFonts w:ascii="Arial Narrow" w:hAnsi="Arial Narrow"/>
          <w:b/>
        </w:rPr>
        <w:t>U</w:t>
      </w:r>
      <w:r w:rsidR="00181E62" w:rsidRPr="003603D6">
        <w:rPr>
          <w:rFonts w:ascii="Arial Narrow" w:hAnsi="Arial Narrow"/>
          <w:b/>
        </w:rPr>
        <w:t>.S. Regulatory Considerations</w:t>
      </w:r>
      <w:r w:rsidR="00181E62" w:rsidRPr="00F9703D">
        <w:rPr>
          <w:rFonts w:ascii="Arial Narrow" w:hAnsi="Arial Narrow"/>
        </w:rPr>
        <w:t xml:space="preserve">: </w:t>
      </w:r>
    </w:p>
    <w:p w14:paraId="38AED16E" w14:textId="77777777" w:rsidR="00800E54" w:rsidRPr="00F9703D" w:rsidRDefault="00800E54" w:rsidP="00A814F2">
      <w:pPr>
        <w:pStyle w:val="Default"/>
        <w:rPr>
          <w:rFonts w:ascii="Arial Narrow" w:hAnsi="Arial Narrow"/>
        </w:rPr>
      </w:pPr>
    </w:p>
    <w:p w14:paraId="25A52C06" w14:textId="77777777" w:rsidR="00F9703D" w:rsidRDefault="00181E62" w:rsidP="00A814F2">
      <w:pPr>
        <w:pStyle w:val="Default"/>
        <w:rPr>
          <w:rFonts w:ascii="Arial Narrow" w:hAnsi="Arial Narrow"/>
        </w:rPr>
      </w:pPr>
      <w:r w:rsidRPr="00F9703D">
        <w:rPr>
          <w:rFonts w:ascii="Arial Narrow" w:hAnsi="Arial Narrow"/>
        </w:rPr>
        <w:t xml:space="preserve">1. Modifications to research may not be implemented until the proposed changes have been reviewed and approved by the IRB, unless the change is necessary to eliminate apparent immediate hazards to the </w:t>
      </w:r>
      <w:r w:rsidR="00F9703D">
        <w:rPr>
          <w:rFonts w:ascii="Arial Narrow" w:hAnsi="Arial Narrow"/>
        </w:rPr>
        <w:t>participant</w:t>
      </w:r>
      <w:r w:rsidRPr="00F9703D">
        <w:rPr>
          <w:rFonts w:ascii="Arial Narrow" w:hAnsi="Arial Narrow"/>
        </w:rPr>
        <w:t>(s)</w:t>
      </w:r>
      <w:r w:rsidR="00C25A03">
        <w:rPr>
          <w:rFonts w:ascii="Arial Narrow" w:hAnsi="Arial Narrow"/>
        </w:rPr>
        <w:t>.</w:t>
      </w:r>
      <w:r w:rsidRPr="00F9703D">
        <w:rPr>
          <w:rFonts w:ascii="Arial Narrow" w:hAnsi="Arial Narrow"/>
        </w:rPr>
        <w:t xml:space="preserve"> </w:t>
      </w:r>
    </w:p>
    <w:p w14:paraId="4C96AB76" w14:textId="77777777" w:rsidR="00F9703D" w:rsidRDefault="00F9703D" w:rsidP="00A814F2">
      <w:pPr>
        <w:pStyle w:val="Default"/>
        <w:rPr>
          <w:rFonts w:ascii="Arial Narrow" w:hAnsi="Arial Narrow"/>
        </w:rPr>
      </w:pPr>
    </w:p>
    <w:p w14:paraId="4B3C9A12" w14:textId="77777777" w:rsidR="00D17DFE" w:rsidRDefault="00181E62" w:rsidP="00A814F2">
      <w:pPr>
        <w:pStyle w:val="Default"/>
        <w:rPr>
          <w:rFonts w:ascii="Arial Narrow" w:hAnsi="Arial Narrow"/>
        </w:rPr>
      </w:pPr>
      <w:r w:rsidRPr="00F9703D">
        <w:rPr>
          <w:rFonts w:ascii="Arial Narrow" w:hAnsi="Arial Narrow"/>
        </w:rPr>
        <w:t xml:space="preserve">2. </w:t>
      </w:r>
      <w:r w:rsidR="00D17DFE">
        <w:rPr>
          <w:rFonts w:ascii="Arial Narrow" w:hAnsi="Arial Narrow"/>
        </w:rPr>
        <w:t>Reporting of modifications made to research to eliminate apparent immediate hazards to the participant(s).</w:t>
      </w:r>
    </w:p>
    <w:p w14:paraId="6EEF73F6" w14:textId="77777777" w:rsidR="00D17DFE" w:rsidRDefault="00D17DFE" w:rsidP="00A814F2">
      <w:pPr>
        <w:pStyle w:val="Default"/>
        <w:rPr>
          <w:rFonts w:ascii="Arial Narrow" w:hAnsi="Arial Narrow"/>
        </w:rPr>
      </w:pPr>
    </w:p>
    <w:p w14:paraId="734092E2" w14:textId="77777777" w:rsidR="00181E62" w:rsidRPr="00F9703D" w:rsidRDefault="00D17DFE" w:rsidP="00A814F2">
      <w:pPr>
        <w:pStyle w:val="Default"/>
        <w:rPr>
          <w:rFonts w:ascii="Arial Narrow" w:hAnsi="Arial Narrow"/>
        </w:rPr>
      </w:pPr>
      <w:r>
        <w:rPr>
          <w:rFonts w:ascii="Arial Narrow" w:hAnsi="Arial Narrow"/>
        </w:rPr>
        <w:t xml:space="preserve">3. </w:t>
      </w:r>
      <w:r w:rsidR="00181E62" w:rsidRPr="00F9703D">
        <w:rPr>
          <w:rFonts w:ascii="Arial Narrow" w:hAnsi="Arial Narrow"/>
        </w:rPr>
        <w:t xml:space="preserve">Whether and how the </w:t>
      </w:r>
      <w:r w:rsidR="00800E54" w:rsidRPr="00F9703D">
        <w:rPr>
          <w:rFonts w:ascii="Arial Narrow" w:hAnsi="Arial Narrow"/>
        </w:rPr>
        <w:t>public health risk</w:t>
      </w:r>
      <w:r w:rsidR="00181E62" w:rsidRPr="00F9703D">
        <w:rPr>
          <w:rFonts w:ascii="Arial Narrow" w:hAnsi="Arial Narrow"/>
        </w:rPr>
        <w:t xml:space="preserve"> itself and any proposed modifications to research impact the criteria for approval, for example:</w:t>
      </w:r>
    </w:p>
    <w:p w14:paraId="0F4FE54F" w14:textId="77777777" w:rsidR="00F9703D" w:rsidRDefault="00181E62" w:rsidP="00F9703D">
      <w:pPr>
        <w:pStyle w:val="Default"/>
        <w:ind w:left="720"/>
        <w:rPr>
          <w:rFonts w:ascii="Arial Narrow" w:hAnsi="Arial Narrow"/>
        </w:rPr>
      </w:pPr>
      <w:r w:rsidRPr="00F9703D">
        <w:rPr>
          <w:rFonts w:ascii="Arial Narrow" w:hAnsi="Arial Narrow"/>
        </w:rPr>
        <w:t xml:space="preserve">a. Whether risks to </w:t>
      </w:r>
      <w:r w:rsidR="00F9703D">
        <w:rPr>
          <w:rFonts w:ascii="Arial Narrow" w:hAnsi="Arial Narrow"/>
        </w:rPr>
        <w:t>participan</w:t>
      </w:r>
      <w:r w:rsidR="00F9703D" w:rsidRPr="00F9703D">
        <w:rPr>
          <w:rFonts w:ascii="Arial Narrow" w:hAnsi="Arial Narrow"/>
        </w:rPr>
        <w:t>ts</w:t>
      </w:r>
      <w:r w:rsidRPr="00F9703D">
        <w:rPr>
          <w:rFonts w:ascii="Arial Narrow" w:hAnsi="Arial Narrow"/>
        </w:rPr>
        <w:t xml:space="preserve"> remain minimized by using procedures that are consistent with sound research design and that do not unnecessarily expose </w:t>
      </w:r>
      <w:r w:rsidR="00F9703D">
        <w:rPr>
          <w:rFonts w:ascii="Arial Narrow" w:hAnsi="Arial Narrow"/>
        </w:rPr>
        <w:t>participants</w:t>
      </w:r>
      <w:r w:rsidRPr="00F9703D">
        <w:rPr>
          <w:rFonts w:ascii="Arial Narrow" w:hAnsi="Arial Narrow"/>
        </w:rPr>
        <w:t xml:space="preserve"> to risk; and, whenever appropriate, by using procedures already being performed on the </w:t>
      </w:r>
      <w:r w:rsidR="00F9703D">
        <w:rPr>
          <w:rFonts w:ascii="Arial Narrow" w:hAnsi="Arial Narrow"/>
        </w:rPr>
        <w:t>participants</w:t>
      </w:r>
      <w:r w:rsidRPr="00F9703D">
        <w:rPr>
          <w:rFonts w:ascii="Arial Narrow" w:hAnsi="Arial Narrow"/>
        </w:rPr>
        <w:t xml:space="preserve"> for diagnostic or treatment purposes</w:t>
      </w:r>
      <w:r w:rsidR="00F9703D">
        <w:rPr>
          <w:rFonts w:ascii="Arial Narrow" w:hAnsi="Arial Narrow"/>
        </w:rPr>
        <w:t>.</w:t>
      </w:r>
    </w:p>
    <w:p w14:paraId="071CCF42" w14:textId="77777777" w:rsidR="00181E62" w:rsidRPr="00F9703D" w:rsidRDefault="00181E62" w:rsidP="00F9703D">
      <w:pPr>
        <w:pStyle w:val="Default"/>
        <w:ind w:left="720"/>
        <w:rPr>
          <w:rFonts w:ascii="Arial Narrow" w:hAnsi="Arial Narrow"/>
        </w:rPr>
      </w:pPr>
      <w:r w:rsidRPr="00F9703D">
        <w:rPr>
          <w:rFonts w:ascii="Arial Narrow" w:hAnsi="Arial Narrow"/>
        </w:rPr>
        <w:t xml:space="preserve">b. Whether risks to </w:t>
      </w:r>
      <w:r w:rsidR="00F9703D">
        <w:rPr>
          <w:rFonts w:ascii="Arial Narrow" w:hAnsi="Arial Narrow"/>
        </w:rPr>
        <w:t>participan</w:t>
      </w:r>
      <w:r w:rsidR="00F9703D" w:rsidRPr="00F9703D">
        <w:rPr>
          <w:rFonts w:ascii="Arial Narrow" w:hAnsi="Arial Narrow"/>
        </w:rPr>
        <w:t>ts</w:t>
      </w:r>
      <w:r w:rsidRPr="00F9703D">
        <w:rPr>
          <w:rFonts w:ascii="Arial Narrow" w:hAnsi="Arial Narrow"/>
        </w:rPr>
        <w:t xml:space="preserve"> remain reasonable in relation to anticipated benefits, if any, to </w:t>
      </w:r>
      <w:r w:rsidR="00F9703D">
        <w:rPr>
          <w:rFonts w:ascii="Arial Narrow" w:hAnsi="Arial Narrow"/>
        </w:rPr>
        <w:t>participan</w:t>
      </w:r>
      <w:r w:rsidR="00F9703D" w:rsidRPr="00F9703D">
        <w:rPr>
          <w:rFonts w:ascii="Arial Narrow" w:hAnsi="Arial Narrow"/>
        </w:rPr>
        <w:t>ts</w:t>
      </w:r>
      <w:r w:rsidRPr="00F9703D">
        <w:rPr>
          <w:rFonts w:ascii="Arial Narrow" w:hAnsi="Arial Narrow"/>
        </w:rPr>
        <w:t>, and the importance of the knowledge that may reasonably be expected to result</w:t>
      </w:r>
      <w:r w:rsidR="00F9703D">
        <w:rPr>
          <w:rFonts w:ascii="Arial Narrow" w:hAnsi="Arial Narrow"/>
        </w:rPr>
        <w:t>.</w:t>
      </w:r>
      <w:r w:rsidRPr="00F9703D">
        <w:rPr>
          <w:rFonts w:ascii="Arial Narrow" w:hAnsi="Arial Narrow"/>
        </w:rPr>
        <w:t xml:space="preserve"> </w:t>
      </w:r>
    </w:p>
    <w:p w14:paraId="7747DC5B" w14:textId="77777777" w:rsidR="00181E62" w:rsidRPr="00F9703D" w:rsidRDefault="00181E62" w:rsidP="00F9703D">
      <w:pPr>
        <w:pStyle w:val="Default"/>
        <w:ind w:left="720"/>
        <w:rPr>
          <w:rFonts w:ascii="Arial Narrow" w:hAnsi="Arial Narrow"/>
        </w:rPr>
      </w:pPr>
      <w:r w:rsidRPr="00F9703D">
        <w:rPr>
          <w:rFonts w:ascii="Arial Narrow" w:hAnsi="Arial Narrow"/>
        </w:rPr>
        <w:t xml:space="preserve">c. Whether the research plan continues to make adequate provisions for monitoring data to ensure the safety of </w:t>
      </w:r>
      <w:r w:rsidR="00F9703D">
        <w:rPr>
          <w:rFonts w:ascii="Arial Narrow" w:hAnsi="Arial Narrow"/>
        </w:rPr>
        <w:t>participan</w:t>
      </w:r>
      <w:r w:rsidR="00F9703D" w:rsidRPr="00F9703D">
        <w:rPr>
          <w:rFonts w:ascii="Arial Narrow" w:hAnsi="Arial Narrow"/>
        </w:rPr>
        <w:t>ts</w:t>
      </w:r>
      <w:r w:rsidR="00F9703D">
        <w:rPr>
          <w:rFonts w:ascii="Arial Narrow" w:hAnsi="Arial Narrow"/>
        </w:rPr>
        <w:t>.</w:t>
      </w:r>
      <w:r w:rsidRPr="00F9703D">
        <w:rPr>
          <w:rFonts w:ascii="Arial Narrow" w:hAnsi="Arial Narrow"/>
        </w:rPr>
        <w:t xml:space="preserve"> </w:t>
      </w:r>
    </w:p>
    <w:p w14:paraId="1ADD96E8" w14:textId="77777777" w:rsidR="00181E62" w:rsidRPr="00F9703D" w:rsidRDefault="00181E62" w:rsidP="00F9703D">
      <w:pPr>
        <w:pStyle w:val="Default"/>
        <w:ind w:left="720"/>
        <w:rPr>
          <w:rFonts w:ascii="Arial Narrow" w:hAnsi="Arial Narrow"/>
        </w:rPr>
      </w:pPr>
      <w:r w:rsidRPr="00F9703D">
        <w:rPr>
          <w:rFonts w:ascii="Arial Narrow" w:hAnsi="Arial Narrow"/>
        </w:rPr>
        <w:t xml:space="preserve">d. Whether the research plan continues to provide adequate provisions to protect the privacy of </w:t>
      </w:r>
      <w:r w:rsidR="00F9703D">
        <w:rPr>
          <w:rFonts w:ascii="Arial Narrow" w:hAnsi="Arial Narrow"/>
        </w:rPr>
        <w:t>participan</w:t>
      </w:r>
      <w:r w:rsidR="00F9703D" w:rsidRPr="00F9703D">
        <w:rPr>
          <w:rFonts w:ascii="Arial Narrow" w:hAnsi="Arial Narrow"/>
        </w:rPr>
        <w:t>ts</w:t>
      </w:r>
      <w:r w:rsidRPr="00F9703D">
        <w:rPr>
          <w:rFonts w:ascii="Arial Narrow" w:hAnsi="Arial Narrow"/>
        </w:rPr>
        <w:t xml:space="preserve"> and to maint</w:t>
      </w:r>
      <w:r w:rsidR="00F9703D">
        <w:rPr>
          <w:rFonts w:ascii="Arial Narrow" w:hAnsi="Arial Narrow"/>
        </w:rPr>
        <w:t>ain the confidentiality of data.</w:t>
      </w:r>
    </w:p>
    <w:p w14:paraId="41F301E5" w14:textId="77777777" w:rsidR="00F9703D" w:rsidRDefault="00F9703D" w:rsidP="00A814F2">
      <w:pPr>
        <w:pStyle w:val="Default"/>
        <w:rPr>
          <w:rFonts w:ascii="Arial Narrow" w:hAnsi="Arial Narrow"/>
        </w:rPr>
      </w:pPr>
    </w:p>
    <w:p w14:paraId="229C9033" w14:textId="77777777" w:rsidR="00181E62" w:rsidRPr="00F9703D" w:rsidRDefault="00181E62" w:rsidP="00A814F2">
      <w:pPr>
        <w:pStyle w:val="Default"/>
        <w:rPr>
          <w:rFonts w:ascii="Arial Narrow" w:hAnsi="Arial Narrow"/>
        </w:rPr>
      </w:pPr>
      <w:r w:rsidRPr="00F9703D">
        <w:rPr>
          <w:rFonts w:ascii="Arial Narrow" w:hAnsi="Arial Narrow"/>
        </w:rPr>
        <w:t xml:space="preserve">3. Informing </w:t>
      </w:r>
      <w:r w:rsidR="00F9703D">
        <w:rPr>
          <w:rFonts w:ascii="Arial Narrow" w:hAnsi="Arial Narrow"/>
        </w:rPr>
        <w:t>participan</w:t>
      </w:r>
      <w:r w:rsidR="00F9703D" w:rsidRPr="00F9703D">
        <w:rPr>
          <w:rFonts w:ascii="Arial Narrow" w:hAnsi="Arial Narrow"/>
        </w:rPr>
        <w:t>ts</w:t>
      </w:r>
      <w:r w:rsidRPr="00F9703D">
        <w:rPr>
          <w:rFonts w:ascii="Arial Narrow" w:hAnsi="Arial Narrow"/>
        </w:rPr>
        <w:t xml:space="preserve"> of information that may impact their willingness to continue participation (such as any changes to their risk and any changes to research procedures)</w:t>
      </w:r>
      <w:r w:rsidR="00F9703D">
        <w:rPr>
          <w:rFonts w:ascii="Arial Narrow" w:hAnsi="Arial Narrow"/>
        </w:rPr>
        <w:t>.</w:t>
      </w:r>
      <w:r w:rsidRPr="00F9703D">
        <w:rPr>
          <w:rFonts w:ascii="Arial Narrow" w:hAnsi="Arial Narrow"/>
        </w:rPr>
        <w:t xml:space="preserve"> </w:t>
      </w:r>
    </w:p>
    <w:p w14:paraId="6B54BE7B" w14:textId="77777777" w:rsidR="00F9703D" w:rsidRDefault="00F9703D" w:rsidP="00A814F2">
      <w:pPr>
        <w:pStyle w:val="Default"/>
        <w:rPr>
          <w:rFonts w:ascii="Arial Narrow" w:hAnsi="Arial Narrow"/>
        </w:rPr>
      </w:pPr>
    </w:p>
    <w:p w14:paraId="2D1C593D" w14:textId="77777777" w:rsidR="00181E62" w:rsidRPr="00F9703D" w:rsidRDefault="00181E62" w:rsidP="00A814F2">
      <w:pPr>
        <w:pStyle w:val="Default"/>
        <w:rPr>
          <w:rFonts w:ascii="Arial Narrow" w:hAnsi="Arial Narrow"/>
        </w:rPr>
      </w:pPr>
      <w:r w:rsidRPr="00F9703D">
        <w:rPr>
          <w:rFonts w:ascii="Arial Narrow" w:hAnsi="Arial Narrow"/>
        </w:rPr>
        <w:t xml:space="preserve">4. Prompt reporting and management of </w:t>
      </w:r>
      <w:r w:rsidR="00F9703D">
        <w:rPr>
          <w:rFonts w:ascii="Arial Narrow" w:hAnsi="Arial Narrow"/>
        </w:rPr>
        <w:t>health crisis</w:t>
      </w:r>
      <w:r w:rsidRPr="00F9703D">
        <w:rPr>
          <w:rFonts w:ascii="Arial Narrow" w:hAnsi="Arial Narrow"/>
        </w:rPr>
        <w:t xml:space="preserve"> unanticipated problems involving risks to </w:t>
      </w:r>
      <w:r w:rsidR="00F9703D">
        <w:rPr>
          <w:rFonts w:ascii="Arial Narrow" w:hAnsi="Arial Narrow"/>
        </w:rPr>
        <w:t>participan</w:t>
      </w:r>
      <w:r w:rsidR="00F9703D" w:rsidRPr="00F9703D">
        <w:rPr>
          <w:rFonts w:ascii="Arial Narrow" w:hAnsi="Arial Narrow"/>
        </w:rPr>
        <w:t>ts</w:t>
      </w:r>
      <w:r w:rsidRPr="00F9703D">
        <w:rPr>
          <w:rFonts w:ascii="Arial Narrow" w:hAnsi="Arial Narrow"/>
        </w:rPr>
        <w:t xml:space="preserve"> or others</w:t>
      </w:r>
      <w:r w:rsidR="00F9703D" w:rsidRPr="00F9703D">
        <w:rPr>
          <w:rFonts w:ascii="Arial Narrow" w:hAnsi="Arial Narrow"/>
        </w:rPr>
        <w:t>.</w:t>
      </w:r>
    </w:p>
    <w:p w14:paraId="33984A02" w14:textId="77777777" w:rsidR="00DC7F86" w:rsidRDefault="00DC7F86" w:rsidP="006C02D3">
      <w:pPr>
        <w:rPr>
          <w:b/>
        </w:rPr>
      </w:pPr>
    </w:p>
    <w:p w14:paraId="745C0830" w14:textId="77777777" w:rsidR="00DC3F20" w:rsidRPr="00A814F2" w:rsidRDefault="007549E1" w:rsidP="006C02D3">
      <w:pPr>
        <w:rPr>
          <w:b/>
          <w:sz w:val="28"/>
        </w:rPr>
      </w:pPr>
      <w:r w:rsidRPr="00A814F2">
        <w:rPr>
          <w:b/>
          <w:sz w:val="28"/>
        </w:rPr>
        <w:t xml:space="preserve">IRB </w:t>
      </w:r>
      <w:r w:rsidR="00BC0B31" w:rsidRPr="00A814F2">
        <w:rPr>
          <w:b/>
          <w:sz w:val="28"/>
        </w:rPr>
        <w:t>Procedure</w:t>
      </w:r>
    </w:p>
    <w:p w14:paraId="09B314FF" w14:textId="77777777" w:rsidR="00800E54" w:rsidRDefault="00800E54" w:rsidP="00800E54">
      <w:pPr>
        <w:pStyle w:val="Default"/>
        <w:rPr>
          <w:rFonts w:ascii="Arial Narrow" w:hAnsi="Arial Narrow"/>
          <w:iCs/>
        </w:rPr>
      </w:pPr>
    </w:p>
    <w:p w14:paraId="36394258" w14:textId="77777777" w:rsidR="00800E54" w:rsidRPr="001B12DE" w:rsidRDefault="00800E54" w:rsidP="00800E54">
      <w:pPr>
        <w:pStyle w:val="Default"/>
        <w:rPr>
          <w:rFonts w:ascii="Arial Narrow" w:hAnsi="Arial Narrow"/>
          <w:iCs/>
        </w:rPr>
      </w:pPr>
      <w:r w:rsidRPr="001B12DE">
        <w:rPr>
          <w:rFonts w:ascii="Arial Narrow" w:hAnsi="Arial Narrow"/>
          <w:iCs/>
        </w:rPr>
        <w:t>In the event of a</w:t>
      </w:r>
      <w:r w:rsidR="006400D0">
        <w:rPr>
          <w:rFonts w:ascii="Arial Narrow" w:hAnsi="Arial Narrow"/>
          <w:iCs/>
        </w:rPr>
        <w:t xml:space="preserve"> public health crisis</w:t>
      </w:r>
      <w:r w:rsidRPr="001B12DE">
        <w:rPr>
          <w:rFonts w:ascii="Arial Narrow" w:hAnsi="Arial Narrow"/>
          <w:iCs/>
        </w:rPr>
        <w:t xml:space="preserve">, the IRB’s policies </w:t>
      </w:r>
      <w:r>
        <w:rPr>
          <w:rFonts w:ascii="Arial Narrow" w:hAnsi="Arial Narrow"/>
          <w:iCs/>
        </w:rPr>
        <w:t xml:space="preserve">and standard operating procedures </w:t>
      </w:r>
      <w:r w:rsidRPr="001B12DE">
        <w:rPr>
          <w:rFonts w:ascii="Arial Narrow" w:hAnsi="Arial Narrow"/>
          <w:iCs/>
        </w:rPr>
        <w:t xml:space="preserve">may be modified as appropriate for the situation. Such modifications may include alternative meeting procedures, alternative procedures for the submission and review of modifications, alternative procedures for prompt reporting, and any other changes necessary to ensure appropriate ongoing oversight and conduct of research. </w:t>
      </w:r>
    </w:p>
    <w:p w14:paraId="4DB2FD4A" w14:textId="77777777" w:rsidR="00800E54" w:rsidRPr="001B12DE" w:rsidRDefault="00800E54" w:rsidP="00800E54">
      <w:pPr>
        <w:pStyle w:val="Default"/>
        <w:rPr>
          <w:rFonts w:ascii="Arial Narrow" w:hAnsi="Arial Narrow"/>
          <w:iCs/>
        </w:rPr>
      </w:pPr>
    </w:p>
    <w:p w14:paraId="66ABD91F" w14:textId="77777777" w:rsidR="00800E54" w:rsidRDefault="00800E54" w:rsidP="00800E54">
      <w:pPr>
        <w:pStyle w:val="Default"/>
        <w:rPr>
          <w:rFonts w:ascii="Arial Narrow" w:hAnsi="Arial Narrow"/>
          <w:iCs/>
        </w:rPr>
      </w:pPr>
      <w:r w:rsidRPr="001B12DE">
        <w:rPr>
          <w:rFonts w:ascii="Arial Narrow" w:hAnsi="Arial Narrow"/>
          <w:iCs/>
        </w:rPr>
        <w:t xml:space="preserve">Because procedural modifications may vary based on the nature of the event, these cannot be anticipated and described in the IRB policies. Instead, such procedural modifications will be documented and communicated to the research community. This documentation will be maintained in accordance with applicable record retention requirements. </w:t>
      </w:r>
    </w:p>
    <w:p w14:paraId="69B560E9" w14:textId="77777777" w:rsidR="00B4465B" w:rsidRDefault="00B4465B" w:rsidP="00800E54">
      <w:pPr>
        <w:pStyle w:val="Default"/>
        <w:rPr>
          <w:shd w:val="clear" w:color="auto" w:fill="FFFFFF"/>
        </w:rPr>
      </w:pPr>
    </w:p>
    <w:p w14:paraId="6E53C500" w14:textId="77777777" w:rsidR="00B4465B" w:rsidRPr="00B4465B" w:rsidRDefault="00B4465B" w:rsidP="00800E54">
      <w:pPr>
        <w:pStyle w:val="Default"/>
        <w:rPr>
          <w:rFonts w:ascii="Arial Narrow" w:hAnsi="Arial Narrow"/>
          <w:iCs/>
        </w:rPr>
      </w:pPr>
      <w:r w:rsidRPr="00B4465B">
        <w:rPr>
          <w:rFonts w:ascii="Arial Narrow" w:hAnsi="Arial Narrow"/>
          <w:shd w:val="clear" w:color="auto" w:fill="FFFFFF"/>
        </w:rPr>
        <w:lastRenderedPageBreak/>
        <w:t>For documents</w:t>
      </w:r>
      <w:r w:rsidR="00F408A5">
        <w:rPr>
          <w:rFonts w:ascii="Arial Narrow" w:hAnsi="Arial Narrow"/>
          <w:shd w:val="clear" w:color="auto" w:fill="FFFFFF"/>
        </w:rPr>
        <w:t xml:space="preserve"> which</w:t>
      </w:r>
      <w:r w:rsidRPr="00B4465B">
        <w:rPr>
          <w:rFonts w:ascii="Arial Narrow" w:hAnsi="Arial Narrow"/>
          <w:shd w:val="clear" w:color="auto" w:fill="FFFFFF"/>
        </w:rPr>
        <w:t xml:space="preserve"> normally require </w:t>
      </w:r>
      <w:r w:rsidR="00F408A5">
        <w:rPr>
          <w:rFonts w:ascii="Arial Narrow" w:hAnsi="Arial Narrow"/>
          <w:shd w:val="clear" w:color="auto" w:fill="FFFFFF"/>
        </w:rPr>
        <w:t>wet</w:t>
      </w:r>
      <w:r w:rsidRPr="00B4465B">
        <w:rPr>
          <w:rFonts w:ascii="Arial Narrow" w:hAnsi="Arial Narrow"/>
          <w:shd w:val="clear" w:color="auto" w:fill="FFFFFF"/>
        </w:rPr>
        <w:t xml:space="preserve"> signatures</w:t>
      </w:r>
      <w:r>
        <w:rPr>
          <w:rFonts w:ascii="Arial Narrow" w:hAnsi="Arial Narrow"/>
          <w:shd w:val="clear" w:color="auto" w:fill="FFFFFF"/>
        </w:rPr>
        <w:t>, t</w:t>
      </w:r>
      <w:r w:rsidRPr="00B4465B">
        <w:rPr>
          <w:rFonts w:ascii="Arial Narrow" w:hAnsi="Arial Narrow"/>
          <w:shd w:val="clear" w:color="auto" w:fill="FFFFFF"/>
        </w:rPr>
        <w:t xml:space="preserve">he IRB Administration Office will accept and allow for digital signatures and/or other </w:t>
      </w:r>
      <w:r>
        <w:rPr>
          <w:rFonts w:ascii="Arial Narrow" w:hAnsi="Arial Narrow"/>
          <w:shd w:val="clear" w:color="auto" w:fill="FFFFFF"/>
        </w:rPr>
        <w:t>communication (email from signatory)</w:t>
      </w:r>
      <w:r w:rsidRPr="00B4465B">
        <w:rPr>
          <w:rFonts w:ascii="Arial Narrow" w:hAnsi="Arial Narrow"/>
          <w:shd w:val="clear" w:color="auto" w:fill="FFFFFF"/>
        </w:rPr>
        <w:t xml:space="preserve"> </w:t>
      </w:r>
      <w:r>
        <w:rPr>
          <w:rFonts w:ascii="Arial Narrow" w:hAnsi="Arial Narrow"/>
          <w:shd w:val="clear" w:color="auto" w:fill="FFFFFF"/>
        </w:rPr>
        <w:t>to</w:t>
      </w:r>
      <w:r w:rsidRPr="00B4465B">
        <w:rPr>
          <w:rFonts w:ascii="Arial Narrow" w:hAnsi="Arial Narrow"/>
          <w:shd w:val="clear" w:color="auto" w:fill="FFFFFF"/>
        </w:rPr>
        <w:t xml:space="preserve"> affirm a submitter and/or reviewers' identity.</w:t>
      </w:r>
    </w:p>
    <w:p w14:paraId="1EB98298" w14:textId="77777777" w:rsidR="00B4465B" w:rsidRDefault="00B4465B" w:rsidP="00800E54">
      <w:pPr>
        <w:pStyle w:val="Default"/>
        <w:rPr>
          <w:rFonts w:ascii="Arial Narrow" w:hAnsi="Arial Narrow"/>
          <w:iCs/>
        </w:rPr>
      </w:pPr>
    </w:p>
    <w:p w14:paraId="4DD3C2C8" w14:textId="77777777" w:rsidR="00DC7F86" w:rsidRPr="0050352F" w:rsidRDefault="00DC7F86" w:rsidP="001D5E8B">
      <w:pPr>
        <w:tabs>
          <w:tab w:val="left" w:pos="1440"/>
          <w:tab w:val="right" w:pos="1620"/>
          <w:tab w:val="left" w:pos="1800"/>
        </w:tabs>
        <w:rPr>
          <w:szCs w:val="24"/>
        </w:rPr>
      </w:pPr>
    </w:p>
    <w:p w14:paraId="4FE44A06" w14:textId="77777777" w:rsidR="0050352F" w:rsidRDefault="0050352F" w:rsidP="001D5E8B">
      <w:pPr>
        <w:tabs>
          <w:tab w:val="left" w:pos="1440"/>
          <w:tab w:val="right" w:pos="1620"/>
          <w:tab w:val="left" w:pos="1800"/>
        </w:tabs>
        <w:rPr>
          <w:szCs w:val="24"/>
        </w:rPr>
      </w:pPr>
    </w:p>
    <w:p w14:paraId="03F89A15" w14:textId="77777777" w:rsidR="0050352F" w:rsidRPr="006D25D1" w:rsidRDefault="006D25D1" w:rsidP="001D5E8B">
      <w:pPr>
        <w:tabs>
          <w:tab w:val="left" w:pos="1440"/>
          <w:tab w:val="right" w:pos="1620"/>
          <w:tab w:val="left" w:pos="1800"/>
        </w:tabs>
        <w:rPr>
          <w:b/>
          <w:szCs w:val="24"/>
        </w:rPr>
      </w:pPr>
      <w:r w:rsidRPr="006D25D1">
        <w:rPr>
          <w:b/>
          <w:szCs w:val="24"/>
        </w:rPr>
        <w:t>Pandemic Response:</w:t>
      </w:r>
    </w:p>
    <w:p w14:paraId="733BB932" w14:textId="77777777" w:rsidR="006D25D1" w:rsidRDefault="006D25D1" w:rsidP="001D5E8B">
      <w:pPr>
        <w:tabs>
          <w:tab w:val="left" w:pos="1440"/>
          <w:tab w:val="right" w:pos="1620"/>
          <w:tab w:val="left" w:pos="1800"/>
        </w:tabs>
        <w:rPr>
          <w:szCs w:val="24"/>
        </w:rPr>
      </w:pPr>
    </w:p>
    <w:p w14:paraId="553C9B63" w14:textId="77777777" w:rsidR="006D25D1" w:rsidRDefault="006D25D1" w:rsidP="00D71CAD">
      <w:pPr>
        <w:tabs>
          <w:tab w:val="left" w:pos="1440"/>
          <w:tab w:val="right" w:pos="1620"/>
          <w:tab w:val="left" w:pos="1800"/>
        </w:tabs>
        <w:ind w:left="288"/>
        <w:rPr>
          <w:szCs w:val="24"/>
        </w:rPr>
      </w:pPr>
      <w:r>
        <w:rPr>
          <w:szCs w:val="24"/>
        </w:rPr>
        <w:t>When the</w:t>
      </w:r>
      <w:r w:rsidR="001A239B">
        <w:rPr>
          <w:szCs w:val="24"/>
        </w:rPr>
        <w:t xml:space="preserve"> </w:t>
      </w:r>
      <w:r w:rsidR="00D17DFE">
        <w:rPr>
          <w:szCs w:val="24"/>
        </w:rPr>
        <w:t xml:space="preserve">federal, state, or </w:t>
      </w:r>
      <w:r w:rsidR="001A239B">
        <w:rPr>
          <w:szCs w:val="24"/>
        </w:rPr>
        <w:t>local government issues recommendations and restrictions to reduce the spread of the contagion, the IRB</w:t>
      </w:r>
      <w:r w:rsidR="001432DE">
        <w:rPr>
          <w:szCs w:val="24"/>
        </w:rPr>
        <w:t>, in line with the University directive,</w:t>
      </w:r>
      <w:r w:rsidR="001A239B">
        <w:rPr>
          <w:szCs w:val="24"/>
        </w:rPr>
        <w:t xml:space="preserve"> will </w:t>
      </w:r>
      <w:r w:rsidR="001432DE">
        <w:rPr>
          <w:szCs w:val="24"/>
        </w:rPr>
        <w:t xml:space="preserve">implement an </w:t>
      </w:r>
      <w:r w:rsidR="001A239B">
        <w:rPr>
          <w:szCs w:val="24"/>
        </w:rPr>
        <w:t xml:space="preserve">appropriate contingency plan to reduce the risk of infection to research participants, researchers, IRB </w:t>
      </w:r>
      <w:r w:rsidR="009D7E06">
        <w:rPr>
          <w:szCs w:val="24"/>
        </w:rPr>
        <w:t>a</w:t>
      </w:r>
      <w:r w:rsidR="001432DE">
        <w:rPr>
          <w:szCs w:val="24"/>
        </w:rPr>
        <w:t xml:space="preserve">dministrative </w:t>
      </w:r>
      <w:r w:rsidR="009D7E06">
        <w:rPr>
          <w:szCs w:val="24"/>
        </w:rPr>
        <w:t>s</w:t>
      </w:r>
      <w:r w:rsidR="001A239B">
        <w:rPr>
          <w:szCs w:val="24"/>
        </w:rPr>
        <w:t>taff</w:t>
      </w:r>
      <w:r w:rsidR="001432DE">
        <w:rPr>
          <w:szCs w:val="24"/>
        </w:rPr>
        <w:t>, and IRB members</w:t>
      </w:r>
      <w:r w:rsidR="001A239B">
        <w:rPr>
          <w:szCs w:val="24"/>
        </w:rPr>
        <w:t xml:space="preserve">. </w:t>
      </w:r>
    </w:p>
    <w:p w14:paraId="11221848" w14:textId="77777777" w:rsidR="001A239B" w:rsidRDefault="001A239B" w:rsidP="00D71CAD">
      <w:pPr>
        <w:tabs>
          <w:tab w:val="left" w:pos="1440"/>
          <w:tab w:val="right" w:pos="1620"/>
          <w:tab w:val="left" w:pos="1800"/>
        </w:tabs>
        <w:ind w:left="288"/>
        <w:rPr>
          <w:szCs w:val="24"/>
        </w:rPr>
      </w:pPr>
    </w:p>
    <w:p w14:paraId="640A4A89" w14:textId="77777777" w:rsidR="001A239B" w:rsidRDefault="003B50AC" w:rsidP="00D71CAD">
      <w:pPr>
        <w:tabs>
          <w:tab w:val="left" w:pos="1440"/>
          <w:tab w:val="right" w:pos="1620"/>
          <w:tab w:val="left" w:pos="1800"/>
        </w:tabs>
        <w:spacing w:after="240"/>
        <w:ind w:left="288"/>
        <w:rPr>
          <w:szCs w:val="24"/>
        </w:rPr>
      </w:pPr>
      <w:r>
        <w:rPr>
          <w:szCs w:val="24"/>
        </w:rPr>
        <w:t>R</w:t>
      </w:r>
      <w:r w:rsidR="001A239B">
        <w:rPr>
          <w:szCs w:val="24"/>
        </w:rPr>
        <w:t>esearch activities that involve face-to-face interactions without any direct therapeutic benefit to research participants</w:t>
      </w:r>
      <w:r>
        <w:rPr>
          <w:szCs w:val="24"/>
        </w:rPr>
        <w:t xml:space="preserve"> will be restricted</w:t>
      </w:r>
      <w:r w:rsidR="001A239B">
        <w:rPr>
          <w:szCs w:val="24"/>
        </w:rPr>
        <w:t>. These restrictions will be communicated to investigators</w:t>
      </w:r>
      <w:r w:rsidR="00F27CE2">
        <w:rPr>
          <w:szCs w:val="24"/>
        </w:rPr>
        <w:t xml:space="preserve"> and research community via </w:t>
      </w:r>
      <w:r w:rsidR="001A239B">
        <w:rPr>
          <w:szCs w:val="24"/>
        </w:rPr>
        <w:t>the IRB</w:t>
      </w:r>
      <w:r w:rsidR="00F27CE2">
        <w:rPr>
          <w:szCs w:val="24"/>
        </w:rPr>
        <w:t xml:space="preserve"> </w:t>
      </w:r>
      <w:r w:rsidR="001A239B">
        <w:rPr>
          <w:szCs w:val="24"/>
        </w:rPr>
        <w:t xml:space="preserve">webpage and through listserv email notifications. </w:t>
      </w:r>
    </w:p>
    <w:p w14:paraId="79DA5570" w14:textId="77777777" w:rsidR="00402D78" w:rsidRDefault="00402D78" w:rsidP="001D5E8B">
      <w:pPr>
        <w:tabs>
          <w:tab w:val="left" w:pos="1440"/>
          <w:tab w:val="right" w:pos="1620"/>
          <w:tab w:val="left" w:pos="1800"/>
        </w:tabs>
        <w:rPr>
          <w:b/>
          <w:szCs w:val="24"/>
        </w:rPr>
      </w:pPr>
    </w:p>
    <w:p w14:paraId="480CAA90" w14:textId="77777777" w:rsidR="00402D78" w:rsidRDefault="00402D78" w:rsidP="001D5E8B">
      <w:pPr>
        <w:tabs>
          <w:tab w:val="left" w:pos="1440"/>
          <w:tab w:val="right" w:pos="1620"/>
          <w:tab w:val="left" w:pos="1800"/>
        </w:tabs>
        <w:rPr>
          <w:b/>
          <w:szCs w:val="24"/>
        </w:rPr>
      </w:pPr>
    </w:p>
    <w:p w14:paraId="28F84056" w14:textId="77777777" w:rsidR="001A239B" w:rsidRDefault="004938F9" w:rsidP="001D5E8B">
      <w:pPr>
        <w:tabs>
          <w:tab w:val="left" w:pos="1440"/>
          <w:tab w:val="right" w:pos="1620"/>
          <w:tab w:val="left" w:pos="1800"/>
        </w:tabs>
        <w:rPr>
          <w:b/>
          <w:szCs w:val="24"/>
        </w:rPr>
      </w:pPr>
      <w:r>
        <w:rPr>
          <w:b/>
          <w:szCs w:val="24"/>
        </w:rPr>
        <w:t xml:space="preserve">Research Activity Modification </w:t>
      </w:r>
      <w:r w:rsidR="00C25A03">
        <w:rPr>
          <w:b/>
          <w:szCs w:val="24"/>
        </w:rPr>
        <w:t>Reporting Requirements</w:t>
      </w:r>
      <w:r w:rsidR="001A239B" w:rsidRPr="001A239B">
        <w:rPr>
          <w:b/>
          <w:szCs w:val="24"/>
        </w:rPr>
        <w:t>:</w:t>
      </w:r>
    </w:p>
    <w:p w14:paraId="56C8FDE8" w14:textId="77777777" w:rsidR="001A239B" w:rsidRPr="00D71CAD" w:rsidRDefault="001A239B" w:rsidP="00D71CAD">
      <w:pPr>
        <w:ind w:left="288"/>
      </w:pPr>
    </w:p>
    <w:p w14:paraId="77C17EE0" w14:textId="77777777" w:rsidR="009B30AB" w:rsidRDefault="001A239B" w:rsidP="00D71CAD">
      <w:pPr>
        <w:ind w:left="288"/>
      </w:pPr>
      <w:r w:rsidRPr="00D71CAD">
        <w:t>When the mandate</w:t>
      </w:r>
      <w:r w:rsidR="009D7E06">
        <w:t>d</w:t>
      </w:r>
      <w:r w:rsidRPr="00D71CAD">
        <w:t xml:space="preserve"> restrictions</w:t>
      </w:r>
      <w:r w:rsidR="009D7E06">
        <w:t xml:space="preserve"> apply</w:t>
      </w:r>
      <w:r w:rsidRPr="00D71CAD">
        <w:t xml:space="preserve"> to research activitie</w:t>
      </w:r>
      <w:r w:rsidR="009D7E06">
        <w:t>s that</w:t>
      </w:r>
      <w:r w:rsidRPr="00D71CAD">
        <w:t xml:space="preserve"> involve face-to-face interactions without a direct therapeutic benefit to research participants, investigators </w:t>
      </w:r>
      <w:r w:rsidR="004B3387">
        <w:t>should</w:t>
      </w:r>
      <w:r w:rsidRPr="00D71CAD">
        <w:t xml:space="preserve"> consider</w:t>
      </w:r>
      <w:r w:rsidR="009B30AB">
        <w:t xml:space="preserve"> </w:t>
      </w:r>
      <w:r w:rsidRPr="00D71CAD">
        <w:t>th</w:t>
      </w:r>
      <w:r w:rsidR="009D7E06">
        <w:t>e</w:t>
      </w:r>
      <w:r w:rsidRPr="00D71CAD">
        <w:t xml:space="preserve"> impact </w:t>
      </w:r>
      <w:r w:rsidR="009B30AB">
        <w:t xml:space="preserve">on </w:t>
      </w:r>
      <w:r w:rsidRPr="00D71CAD">
        <w:t xml:space="preserve">all active ongoing research. </w:t>
      </w:r>
    </w:p>
    <w:p w14:paraId="552D5029" w14:textId="77777777" w:rsidR="009B30AB" w:rsidRDefault="009B30AB" w:rsidP="00D71CAD">
      <w:pPr>
        <w:ind w:left="288"/>
      </w:pPr>
    </w:p>
    <w:p w14:paraId="4669073E" w14:textId="77777777" w:rsidR="004938F9" w:rsidRDefault="001A239B" w:rsidP="00F9703D">
      <w:pPr>
        <w:ind w:left="288"/>
        <w:rPr>
          <w:szCs w:val="24"/>
        </w:rPr>
      </w:pPr>
      <w:r w:rsidRPr="004938F9">
        <w:t xml:space="preserve">Any </w:t>
      </w:r>
      <w:r w:rsidR="00402D78" w:rsidRPr="004938F9">
        <w:t xml:space="preserve">modification made to </w:t>
      </w:r>
      <w:r w:rsidR="009B30AB">
        <w:t xml:space="preserve">an </w:t>
      </w:r>
      <w:r w:rsidR="00402D78" w:rsidRPr="004938F9">
        <w:t>IRB approved research</w:t>
      </w:r>
      <w:r w:rsidR="009B30AB">
        <w:t xml:space="preserve"> protocol as a result of </w:t>
      </w:r>
      <w:r w:rsidR="009D7E06">
        <w:t>mandated</w:t>
      </w:r>
      <w:r w:rsidRPr="004938F9">
        <w:t xml:space="preserve"> restrictions will need to be reported to the IRB </w:t>
      </w:r>
      <w:r w:rsidR="004938F9">
        <w:t>as an</w:t>
      </w:r>
      <w:r w:rsidRPr="004938F9">
        <w:t xml:space="preserve"> a</w:t>
      </w:r>
      <w:r w:rsidR="004938F9">
        <w:t>mendment</w:t>
      </w:r>
      <w:r w:rsidRPr="004938F9">
        <w:t xml:space="preserve">. </w:t>
      </w:r>
      <w:r w:rsidR="00402D78" w:rsidRPr="009B30AB">
        <w:rPr>
          <w:szCs w:val="24"/>
        </w:rPr>
        <w:t>Modifications to research may not be i</w:t>
      </w:r>
      <w:r w:rsidR="004938F9">
        <w:t>nitiated</w:t>
      </w:r>
      <w:r w:rsidR="00402D78" w:rsidRPr="009B30AB">
        <w:rPr>
          <w:szCs w:val="24"/>
        </w:rPr>
        <w:t xml:space="preserve"> until the proposed changes have been reviewed and approved by the IRB, unless the change is necessary to eliminate</w:t>
      </w:r>
      <w:r w:rsidR="004938F9">
        <w:t xml:space="preserve"> an</w:t>
      </w:r>
      <w:r w:rsidR="009D7E06">
        <w:rPr>
          <w:szCs w:val="24"/>
        </w:rPr>
        <w:t xml:space="preserve"> apparent immediate hazard</w:t>
      </w:r>
      <w:r w:rsidR="00402D78" w:rsidRPr="009B30AB">
        <w:rPr>
          <w:szCs w:val="24"/>
        </w:rPr>
        <w:t xml:space="preserve"> to the </w:t>
      </w:r>
      <w:r w:rsidR="004938F9">
        <w:t>participants</w:t>
      </w:r>
      <w:r w:rsidR="004938F9" w:rsidRPr="004938F9">
        <w:t>.</w:t>
      </w:r>
      <w:r w:rsidR="00402D78" w:rsidRPr="004938F9">
        <w:rPr>
          <w:szCs w:val="24"/>
        </w:rPr>
        <w:t xml:space="preserve"> </w:t>
      </w:r>
    </w:p>
    <w:p w14:paraId="4647A0E7" w14:textId="77777777" w:rsidR="004938F9" w:rsidRDefault="004938F9" w:rsidP="00F9703D">
      <w:pPr>
        <w:ind w:left="288"/>
        <w:rPr>
          <w:szCs w:val="24"/>
        </w:rPr>
      </w:pPr>
    </w:p>
    <w:p w14:paraId="44F48D6B" w14:textId="77777777" w:rsidR="00402D78" w:rsidRPr="005131C8" w:rsidRDefault="004938F9" w:rsidP="00F9703D">
      <w:pPr>
        <w:ind w:left="288"/>
        <w:rPr>
          <w:szCs w:val="24"/>
        </w:rPr>
      </w:pPr>
      <w:r w:rsidRPr="005131C8">
        <w:rPr>
          <w:rFonts w:eastAsia="Calibri" w:cs="Calibri"/>
          <w:szCs w:val="24"/>
        </w:rPr>
        <w:t>If</w:t>
      </w:r>
      <w:r>
        <w:rPr>
          <w:rFonts w:eastAsia="Calibri" w:cs="Calibri"/>
          <w:szCs w:val="24"/>
        </w:rPr>
        <w:t xml:space="preserve"> a</w:t>
      </w:r>
      <w:r w:rsidRPr="005131C8">
        <w:rPr>
          <w:rFonts w:eastAsia="Calibri" w:cs="Calibri"/>
          <w:szCs w:val="24"/>
        </w:rPr>
        <w:t xml:space="preserve"> </w:t>
      </w:r>
      <w:r>
        <w:rPr>
          <w:rFonts w:eastAsia="Calibri" w:cs="Calibri"/>
          <w:szCs w:val="24"/>
        </w:rPr>
        <w:t>modification must be initiated</w:t>
      </w:r>
      <w:r w:rsidRPr="004938F9">
        <w:rPr>
          <w:rFonts w:eastAsia="Calibri" w:cs="Calibri"/>
          <w:szCs w:val="24"/>
        </w:rPr>
        <w:t xml:space="preserve"> before the IRB approval </w:t>
      </w:r>
      <w:r w:rsidRPr="009B30AB">
        <w:rPr>
          <w:szCs w:val="24"/>
        </w:rPr>
        <w:t>to eliminate</w:t>
      </w:r>
      <w:r>
        <w:t xml:space="preserve"> an</w:t>
      </w:r>
      <w:r w:rsidR="005131C8">
        <w:rPr>
          <w:szCs w:val="24"/>
        </w:rPr>
        <w:t xml:space="preserve"> apparent immediate hazard</w:t>
      </w:r>
      <w:r w:rsidRPr="009B30AB">
        <w:rPr>
          <w:szCs w:val="24"/>
        </w:rPr>
        <w:t xml:space="preserve"> to the </w:t>
      </w:r>
      <w:r>
        <w:t>participa</w:t>
      </w:r>
      <w:r w:rsidR="005131C8">
        <w:t>nt</w:t>
      </w:r>
      <w:r w:rsidR="009D7E06">
        <w:t>, the</w:t>
      </w:r>
      <w:r w:rsidR="005131C8">
        <w:t xml:space="preserve"> modification must be reported </w:t>
      </w:r>
      <w:r w:rsidR="009D7E06">
        <w:t xml:space="preserve">as an Unanticipated Problem </w:t>
      </w:r>
      <w:r w:rsidR="005131C8">
        <w:t>to the IRB</w:t>
      </w:r>
      <w:r w:rsidR="009D7E06">
        <w:t>.</w:t>
      </w:r>
    </w:p>
    <w:p w14:paraId="74E210FE" w14:textId="77777777" w:rsidR="00402D78" w:rsidRPr="00D71CAD" w:rsidRDefault="00402D78" w:rsidP="00D71CAD">
      <w:pPr>
        <w:ind w:left="288"/>
      </w:pPr>
    </w:p>
    <w:p w14:paraId="1FB2D949" w14:textId="77777777" w:rsidR="001C280B" w:rsidRPr="00F9703D" w:rsidRDefault="001C280B" w:rsidP="00F9703D">
      <w:pPr>
        <w:ind w:left="288"/>
        <w:rPr>
          <w:rFonts w:cs="Arial"/>
          <w:szCs w:val="24"/>
        </w:rPr>
      </w:pPr>
      <w:r w:rsidRPr="00F9703D">
        <w:rPr>
          <w:rFonts w:cs="Arial"/>
          <w:szCs w:val="24"/>
          <w:bdr w:val="none" w:sz="0" w:space="0" w:color="auto" w:frame="1"/>
        </w:rPr>
        <w:t>If study accrual/enrollment is put on hold </w:t>
      </w:r>
      <w:r w:rsidRPr="00F9703D">
        <w:rPr>
          <w:rFonts w:cs="Arial"/>
          <w:bCs/>
          <w:szCs w:val="24"/>
          <w:bdr w:val="none" w:sz="0" w:space="0" w:color="auto" w:frame="1"/>
        </w:rPr>
        <w:t>due to a public health crisis/pandemic</w:t>
      </w:r>
      <w:r w:rsidRPr="00F9703D">
        <w:rPr>
          <w:rFonts w:cs="Arial"/>
          <w:szCs w:val="24"/>
          <w:bdr w:val="none" w:sz="0" w:space="0" w:color="auto" w:frame="1"/>
        </w:rPr>
        <w:t> </w:t>
      </w:r>
      <w:r w:rsidRPr="00F9703D">
        <w:rPr>
          <w:rFonts w:cs="Arial"/>
          <w:bCs/>
          <w:szCs w:val="24"/>
          <w:bdr w:val="none" w:sz="0" w:space="0" w:color="auto" w:frame="1"/>
        </w:rPr>
        <w:t>(but</w:t>
      </w:r>
      <w:r w:rsidRPr="00F9703D">
        <w:rPr>
          <w:rFonts w:cs="Arial"/>
          <w:szCs w:val="24"/>
          <w:bdr w:val="none" w:sz="0" w:space="0" w:color="auto" w:frame="1"/>
        </w:rPr>
        <w:t> </w:t>
      </w:r>
      <w:r w:rsidRPr="00F9703D">
        <w:rPr>
          <w:rFonts w:cs="Arial"/>
          <w:bCs/>
          <w:szCs w:val="24"/>
          <w:bdr w:val="none" w:sz="0" w:space="0" w:color="auto" w:frame="1"/>
        </w:rPr>
        <w:t>not due to research-related risks or safety concerns</w:t>
      </w:r>
      <w:r w:rsidRPr="00F9703D">
        <w:rPr>
          <w:rFonts w:cs="Arial"/>
          <w:szCs w:val="24"/>
          <w:bdr w:val="none" w:sz="0" w:space="0" w:color="auto" w:frame="1"/>
        </w:rPr>
        <w:t xml:space="preserve">) by the Principal Investigator or Sponsor, then notification to the IRB </w:t>
      </w:r>
      <w:r w:rsidR="000A664E">
        <w:rPr>
          <w:rFonts w:cs="Arial"/>
          <w:szCs w:val="24"/>
          <w:bdr w:val="none" w:sz="0" w:space="0" w:color="auto" w:frame="1"/>
        </w:rPr>
        <w:t>may</w:t>
      </w:r>
      <w:r w:rsidRPr="00F9703D">
        <w:rPr>
          <w:rFonts w:cs="Arial"/>
          <w:szCs w:val="24"/>
          <w:bdr w:val="none" w:sz="0" w:space="0" w:color="auto" w:frame="1"/>
        </w:rPr>
        <w:t xml:space="preserve"> be submitted to the IRB at the next routine amendment</w:t>
      </w:r>
      <w:r w:rsidR="000A664E">
        <w:rPr>
          <w:rFonts w:cs="Arial"/>
          <w:szCs w:val="24"/>
          <w:bdr w:val="none" w:sz="0" w:space="0" w:color="auto" w:frame="1"/>
        </w:rPr>
        <w:t xml:space="preserve"> submission</w:t>
      </w:r>
      <w:r w:rsidRPr="00F9703D">
        <w:rPr>
          <w:rFonts w:cs="Arial"/>
          <w:szCs w:val="24"/>
          <w:bdr w:val="none" w:sz="0" w:space="0" w:color="auto" w:frame="1"/>
        </w:rPr>
        <w:t xml:space="preserve"> and also indicated at the next </w:t>
      </w:r>
      <w:r w:rsidR="000A664E">
        <w:rPr>
          <w:rFonts w:cs="Arial"/>
          <w:szCs w:val="24"/>
          <w:bdr w:val="none" w:sz="0" w:space="0" w:color="auto" w:frame="1"/>
        </w:rPr>
        <w:t>continuation.</w:t>
      </w:r>
      <w:r w:rsidRPr="00F9703D">
        <w:rPr>
          <w:rFonts w:cs="Arial"/>
          <w:szCs w:val="24"/>
          <w:bdr w:val="none" w:sz="0" w:space="0" w:color="auto" w:frame="1"/>
        </w:rPr>
        <w:t> </w:t>
      </w:r>
    </w:p>
    <w:p w14:paraId="2B46867C" w14:textId="77777777" w:rsidR="004B3387" w:rsidRDefault="004B3387" w:rsidP="004B3387">
      <w:pPr>
        <w:shd w:val="clear" w:color="auto" w:fill="FFFFFF"/>
        <w:spacing w:line="259" w:lineRule="auto"/>
        <w:ind w:left="288"/>
        <w:textAlignment w:val="baseline"/>
        <w:rPr>
          <w:rFonts w:cs="Arial"/>
          <w:szCs w:val="24"/>
          <w:bdr w:val="none" w:sz="0" w:space="0" w:color="auto" w:frame="1"/>
          <w:shd w:val="clear" w:color="auto" w:fill="FFFFFF"/>
        </w:rPr>
      </w:pPr>
    </w:p>
    <w:p w14:paraId="4BA20908" w14:textId="77777777" w:rsidR="001C280B" w:rsidRPr="00F9703D" w:rsidRDefault="001C280B" w:rsidP="004B3387">
      <w:pPr>
        <w:shd w:val="clear" w:color="auto" w:fill="FFFFFF"/>
        <w:spacing w:line="259" w:lineRule="auto"/>
        <w:ind w:left="288"/>
        <w:textAlignment w:val="baseline"/>
        <w:rPr>
          <w:rFonts w:cs="Arial"/>
          <w:sz w:val="23"/>
          <w:szCs w:val="23"/>
        </w:rPr>
      </w:pPr>
      <w:r w:rsidRPr="00F9703D">
        <w:rPr>
          <w:rFonts w:cs="Arial"/>
          <w:szCs w:val="24"/>
          <w:bdr w:val="none" w:sz="0" w:space="0" w:color="auto" w:frame="1"/>
          <w:shd w:val="clear" w:color="auto" w:fill="FFFFFF"/>
        </w:rPr>
        <w:t xml:space="preserve">If study accrual/enrollment </w:t>
      </w:r>
      <w:r w:rsidR="000A664E">
        <w:rPr>
          <w:rFonts w:cs="Arial"/>
          <w:szCs w:val="24"/>
          <w:bdr w:val="none" w:sz="0" w:space="0" w:color="auto" w:frame="1"/>
          <w:shd w:val="clear" w:color="auto" w:fill="FFFFFF"/>
        </w:rPr>
        <w:t xml:space="preserve">is </w:t>
      </w:r>
      <w:r w:rsidRPr="00F9703D">
        <w:rPr>
          <w:rFonts w:cs="Arial"/>
          <w:szCs w:val="24"/>
          <w:bdr w:val="none" w:sz="0" w:space="0" w:color="auto" w:frame="1"/>
          <w:shd w:val="clear" w:color="auto" w:fill="FFFFFF"/>
        </w:rPr>
        <w:t>put on hold due to </w:t>
      </w:r>
      <w:r w:rsidRPr="00F9703D">
        <w:rPr>
          <w:rFonts w:cs="Arial"/>
          <w:bCs/>
          <w:szCs w:val="24"/>
          <w:bdr w:val="none" w:sz="0" w:space="0" w:color="auto" w:frame="1"/>
          <w:shd w:val="clear" w:color="auto" w:fill="FFFFFF"/>
        </w:rPr>
        <w:t>research-related risks or safety concerns</w:t>
      </w:r>
      <w:r w:rsidRPr="00F9703D">
        <w:rPr>
          <w:rFonts w:cs="Arial"/>
          <w:szCs w:val="24"/>
          <w:bdr w:val="none" w:sz="0" w:space="0" w:color="auto" w:frame="1"/>
          <w:shd w:val="clear" w:color="auto" w:fill="FFFFFF"/>
        </w:rPr>
        <w:t> by the Princip</w:t>
      </w:r>
      <w:r w:rsidR="009D7E06" w:rsidRPr="009D7E06">
        <w:rPr>
          <w:rFonts w:cs="Arial"/>
          <w:szCs w:val="24"/>
          <w:bdr w:val="none" w:sz="0" w:space="0" w:color="auto" w:frame="1"/>
          <w:shd w:val="clear" w:color="auto" w:fill="FFFFFF"/>
        </w:rPr>
        <w:t>al Investigator or Sponsor, the</w:t>
      </w:r>
      <w:r w:rsidRPr="00F9703D">
        <w:rPr>
          <w:rFonts w:cs="Arial"/>
          <w:szCs w:val="24"/>
          <w:bdr w:val="none" w:sz="0" w:space="0" w:color="auto" w:frame="1"/>
          <w:shd w:val="clear" w:color="auto" w:fill="FFFFFF"/>
        </w:rPr>
        <w:t xml:space="preserve"> </w:t>
      </w:r>
      <w:r w:rsidR="00B14132">
        <w:rPr>
          <w:rFonts w:cs="Arial"/>
          <w:szCs w:val="24"/>
          <w:bdr w:val="none" w:sz="0" w:space="0" w:color="auto" w:frame="1"/>
          <w:shd w:val="clear" w:color="auto" w:fill="FFFFFF"/>
        </w:rPr>
        <w:t>notification</w:t>
      </w:r>
      <w:r w:rsidRPr="00F9703D">
        <w:rPr>
          <w:rFonts w:cs="Arial"/>
          <w:szCs w:val="24"/>
          <w:bdr w:val="none" w:sz="0" w:space="0" w:color="auto" w:frame="1"/>
          <w:shd w:val="clear" w:color="auto" w:fill="FFFFFF"/>
        </w:rPr>
        <w:t xml:space="preserve"> should be reported to the IRB as an amendment in a timely manner. An Unanticipated Report and Event form may be required, if applicable.</w:t>
      </w:r>
    </w:p>
    <w:p w14:paraId="22414469" w14:textId="77777777" w:rsidR="001A239B" w:rsidRPr="00D71CAD" w:rsidRDefault="001A239B" w:rsidP="00D71CAD">
      <w:pPr>
        <w:ind w:left="288"/>
      </w:pPr>
      <w:r w:rsidRPr="00D71CAD">
        <w:t xml:space="preserve"> </w:t>
      </w:r>
    </w:p>
    <w:p w14:paraId="3CEA3514" w14:textId="77777777" w:rsidR="002F62B4" w:rsidRPr="00D71CAD" w:rsidRDefault="002F62B4" w:rsidP="00D71CAD">
      <w:pPr>
        <w:ind w:left="288"/>
      </w:pPr>
      <w:r w:rsidRPr="00D71CAD">
        <w:t xml:space="preserve">If investigators suspect that a participant </w:t>
      </w:r>
      <w:r w:rsidR="00D17DFE">
        <w:t xml:space="preserve">or the investigators or staff </w:t>
      </w:r>
      <w:r w:rsidRPr="00D71CAD">
        <w:t>w</w:t>
      </w:r>
      <w:r w:rsidR="00397F43">
        <w:t>ere</w:t>
      </w:r>
      <w:r w:rsidRPr="00D71CAD">
        <w:t xml:space="preserve"> exposed to the contagion during a </w:t>
      </w:r>
      <w:r w:rsidR="00397F43">
        <w:t>research</w:t>
      </w:r>
      <w:r w:rsidRPr="00D71CAD">
        <w:t xml:space="preserve"> visit, an Unanticipated Problem Report must be submitted to the IRB as soon as possible. The corrective action plan should include </w:t>
      </w:r>
      <w:r w:rsidR="001C09DF" w:rsidRPr="00D71CAD">
        <w:t>the plan for notifying all</w:t>
      </w:r>
      <w:r w:rsidRPr="00D71CAD">
        <w:t xml:space="preserve"> participan</w:t>
      </w:r>
      <w:r w:rsidR="001C09DF" w:rsidRPr="00D71CAD">
        <w:t>ts</w:t>
      </w:r>
      <w:r w:rsidR="009D7E06">
        <w:t xml:space="preserve"> and individuals</w:t>
      </w:r>
      <w:r w:rsidR="001C09DF" w:rsidRPr="00D71CAD">
        <w:t xml:space="preserve"> who were potentially exposed. </w:t>
      </w:r>
    </w:p>
    <w:p w14:paraId="00031E4E" w14:textId="77777777" w:rsidR="001C09DF" w:rsidRDefault="001C09DF" w:rsidP="002F62B4"/>
    <w:p w14:paraId="12AE483E" w14:textId="77777777" w:rsidR="001C09DF" w:rsidRPr="001C09DF" w:rsidRDefault="001C09DF" w:rsidP="002F62B4">
      <w:pPr>
        <w:rPr>
          <w:b/>
        </w:rPr>
      </w:pPr>
      <w:r w:rsidRPr="001C09DF">
        <w:rPr>
          <w:b/>
        </w:rPr>
        <w:t>Reviewing Research Protocols Investigating a Public Health Crisis</w:t>
      </w:r>
      <w:r w:rsidR="00D71CAD">
        <w:rPr>
          <w:b/>
        </w:rPr>
        <w:t>:</w:t>
      </w:r>
    </w:p>
    <w:p w14:paraId="431624F4" w14:textId="77777777" w:rsidR="001C09DF" w:rsidRDefault="001C09DF" w:rsidP="002F62B4"/>
    <w:p w14:paraId="43946F4F" w14:textId="77777777" w:rsidR="001C09DF" w:rsidRPr="00D71CAD" w:rsidRDefault="001C09DF" w:rsidP="00D71CAD">
      <w:pPr>
        <w:ind w:left="360"/>
      </w:pPr>
      <w:r w:rsidRPr="00D71CAD">
        <w:t xml:space="preserve">During an active public health crisis, the IRB will prioritize the reviews of all research pertaining to the health crisis. </w:t>
      </w:r>
    </w:p>
    <w:p w14:paraId="307EF095" w14:textId="77777777" w:rsidR="002F62B4" w:rsidRDefault="002F62B4" w:rsidP="00D71CAD"/>
    <w:p w14:paraId="10E05787" w14:textId="77777777" w:rsidR="001C09DF" w:rsidRDefault="001C09DF" w:rsidP="00D71CAD">
      <w:pPr>
        <w:ind w:left="360"/>
      </w:pPr>
      <w:r>
        <w:t>IRB members reviewing such protocols should consider the following:</w:t>
      </w:r>
    </w:p>
    <w:p w14:paraId="098A8FE4" w14:textId="77777777" w:rsidR="001C09DF" w:rsidRDefault="001C09DF" w:rsidP="00D71CAD">
      <w:pPr>
        <w:numPr>
          <w:ilvl w:val="0"/>
          <w:numId w:val="3"/>
        </w:numPr>
      </w:pPr>
      <w:r>
        <w:t>Consent considerations</w:t>
      </w:r>
    </w:p>
    <w:p w14:paraId="23BED9FF" w14:textId="77777777" w:rsidR="001C09DF" w:rsidRDefault="001C09DF" w:rsidP="00D71CAD">
      <w:pPr>
        <w:numPr>
          <w:ilvl w:val="1"/>
          <w:numId w:val="3"/>
        </w:numPr>
      </w:pPr>
      <w:r>
        <w:lastRenderedPageBreak/>
        <w:t>In cases where a Legally Authorized Representative is required, and cannot sign in person, exceptions can be made to allowing Legally Authorized Representative to consent over the phone when potential participant is quarantined, or visitation restrictions will not allow an LAR to be physically present to obtain consent.</w:t>
      </w:r>
    </w:p>
    <w:p w14:paraId="6BBDE001" w14:textId="77777777" w:rsidR="00397F43" w:rsidRDefault="00397F43" w:rsidP="00D71CAD">
      <w:pPr>
        <w:numPr>
          <w:ilvl w:val="1"/>
          <w:numId w:val="3"/>
        </w:numPr>
      </w:pPr>
      <w:r>
        <w:t>When a waiver of documentation of consent is not permissible, alternative mechanisms (instead of exchanging a paper consent form) can be considered.  Applicable regulations will need to be considered.  For example, it may be acceptable for consent forms to be faxed, scanned, or photographed.  The requirements for a valid consent process still apply (e.g., the opportunity to consider participation and to ask and have questions responded to).</w:t>
      </w:r>
    </w:p>
    <w:p w14:paraId="6E47746E" w14:textId="77777777" w:rsidR="00A76658" w:rsidRDefault="00A76658" w:rsidP="001F197D">
      <w:pPr>
        <w:ind w:left="1800"/>
      </w:pPr>
    </w:p>
    <w:p w14:paraId="464A99B8" w14:textId="77777777" w:rsidR="00655BE6" w:rsidRDefault="001C09DF" w:rsidP="00D71CAD">
      <w:pPr>
        <w:numPr>
          <w:ilvl w:val="0"/>
          <w:numId w:val="3"/>
        </w:numPr>
      </w:pPr>
      <w:r>
        <w:t xml:space="preserve">Burden on the population </w:t>
      </w:r>
    </w:p>
    <w:p w14:paraId="36F80821" w14:textId="77777777" w:rsidR="001C09DF" w:rsidRDefault="001C09DF" w:rsidP="00D71CAD">
      <w:pPr>
        <w:numPr>
          <w:ilvl w:val="1"/>
          <w:numId w:val="3"/>
        </w:numPr>
      </w:pPr>
      <w:r>
        <w:t>Responding to a public health crisis requires research to quickly develop new tests, treatments and vaccines to control the spread of the contagion. Potential participants may become overwhelmed by research opportunities. This may place an added burden on the population which should be considered. The number of incoming protocols related to the public health crisis and the numbe</w:t>
      </w:r>
      <w:r w:rsidR="00655BE6">
        <w:t>r of ill participants should be understood when assessing a potential burden to the population</w:t>
      </w:r>
      <w:r w:rsidR="00607429">
        <w:t>.</w:t>
      </w:r>
    </w:p>
    <w:p w14:paraId="645C9D1F" w14:textId="77777777" w:rsidR="00A76658" w:rsidRDefault="00A76658" w:rsidP="001F197D">
      <w:pPr>
        <w:ind w:left="1800"/>
      </w:pPr>
    </w:p>
    <w:p w14:paraId="5004A4DF" w14:textId="77777777" w:rsidR="00655BE6" w:rsidRDefault="00655BE6" w:rsidP="00D71CAD">
      <w:pPr>
        <w:numPr>
          <w:ilvl w:val="0"/>
          <w:numId w:val="3"/>
        </w:numPr>
      </w:pPr>
      <w:r>
        <w:t>Confidentiality</w:t>
      </w:r>
    </w:p>
    <w:p w14:paraId="5D35ED74" w14:textId="77777777" w:rsidR="00397F43" w:rsidRDefault="00397F43" w:rsidP="00777A4B">
      <w:pPr>
        <w:numPr>
          <w:ilvl w:val="1"/>
          <w:numId w:val="3"/>
        </w:numPr>
      </w:pPr>
      <w:r>
        <w:t xml:space="preserve">Regulating agencies may issue enforcement discretion or temporary waivers of certain requirements to ensure that providers may exchange information appropriately during a public health emergency.  Investigators and staff must at all times take appropriate steps to ensure the confidentiality of research information but may need the flexibility to share information that they otherwise would not during a public health emergency within the parameters of the guidelines issued by agencies, </w:t>
      </w:r>
      <w:r w:rsidR="0008605A">
        <w:t>any involved healthcare facilities, and the University</w:t>
      </w:r>
      <w:r w:rsidR="006400D0">
        <w:t>.</w:t>
      </w:r>
    </w:p>
    <w:p w14:paraId="78E3714D" w14:textId="77777777" w:rsidR="006400D0" w:rsidRDefault="006400D0" w:rsidP="00777A4B">
      <w:pPr>
        <w:numPr>
          <w:ilvl w:val="1"/>
          <w:numId w:val="3"/>
        </w:numPr>
      </w:pPr>
      <w:r>
        <w:t>Consideration must be given to the privacy and confidentiality during the consent process</w:t>
      </w:r>
    </w:p>
    <w:p w14:paraId="487E81F8" w14:textId="77777777" w:rsidR="006400D0" w:rsidRDefault="006400D0" w:rsidP="00777A4B">
      <w:pPr>
        <w:numPr>
          <w:ilvl w:val="1"/>
          <w:numId w:val="3"/>
        </w:numPr>
      </w:pPr>
      <w:r>
        <w:t xml:space="preserve">Consideration must be given to the confidentiality </w:t>
      </w:r>
      <w:r w:rsidR="00111FDA">
        <w:t xml:space="preserve">of the participant’s own infectious diagnosis within the </w:t>
      </w:r>
      <w:r>
        <w:t xml:space="preserve">data collection </w:t>
      </w:r>
      <w:r w:rsidR="00111FDA">
        <w:t>documents.</w:t>
      </w:r>
    </w:p>
    <w:p w14:paraId="384CEF9F" w14:textId="77777777" w:rsidR="00A76658" w:rsidRDefault="00A76658" w:rsidP="001F197D">
      <w:pPr>
        <w:ind w:left="1800"/>
      </w:pPr>
    </w:p>
    <w:p w14:paraId="7A916925" w14:textId="77777777" w:rsidR="00655BE6" w:rsidRDefault="00655BE6" w:rsidP="00D71CAD">
      <w:pPr>
        <w:numPr>
          <w:ilvl w:val="0"/>
          <w:numId w:val="3"/>
        </w:numPr>
      </w:pPr>
      <w:r>
        <w:t>Burden on the healthcare system-</w:t>
      </w:r>
    </w:p>
    <w:p w14:paraId="377BAE19" w14:textId="77777777" w:rsidR="00655BE6" w:rsidRDefault="00655BE6" w:rsidP="00D71CAD">
      <w:pPr>
        <w:numPr>
          <w:ilvl w:val="1"/>
          <w:numId w:val="3"/>
        </w:numPr>
      </w:pPr>
      <w:r>
        <w:t>When the healthcare system is faced with the increased demands of a public health crisis, the burden of the additional interventions that may be required by a research protocol should be considered</w:t>
      </w:r>
      <w:r w:rsidR="0008605A">
        <w:t xml:space="preserve"> including the consumption of resources, supplies, and equipment</w:t>
      </w:r>
      <w:r>
        <w:t xml:space="preserve">. </w:t>
      </w:r>
    </w:p>
    <w:p w14:paraId="1ED2C016" w14:textId="77777777" w:rsidR="004B3387" w:rsidRDefault="004B3387" w:rsidP="004B3387">
      <w:pPr>
        <w:ind w:left="1800"/>
      </w:pPr>
    </w:p>
    <w:p w14:paraId="161FDF04" w14:textId="77777777" w:rsidR="00655BE6" w:rsidRDefault="00655BE6" w:rsidP="00D71CAD">
      <w:pPr>
        <w:numPr>
          <w:ilvl w:val="0"/>
          <w:numId w:val="3"/>
        </w:numPr>
      </w:pPr>
      <w:r>
        <w:t xml:space="preserve">Researchers access to the participant if there are restrictions to reduce exposure to contagion. </w:t>
      </w:r>
    </w:p>
    <w:p w14:paraId="31719E10" w14:textId="6039D3EE" w:rsidR="00655BE6" w:rsidRDefault="00655BE6" w:rsidP="00655BE6">
      <w:pPr>
        <w:numPr>
          <w:ilvl w:val="1"/>
          <w:numId w:val="3"/>
        </w:numPr>
      </w:pPr>
      <w:r>
        <w:t xml:space="preserve">When </w:t>
      </w:r>
      <w:r w:rsidR="0008605A">
        <w:t xml:space="preserve">essential </w:t>
      </w:r>
      <w:r>
        <w:t xml:space="preserve">research is being done on a population infected with a highly infectious contagion, the researchers interacting with participants must have access to the area where the participant is being cared for outside of the context of the research. Researchers </w:t>
      </w:r>
      <w:r w:rsidR="0008605A">
        <w:t xml:space="preserve">should </w:t>
      </w:r>
      <w:r>
        <w:t>also be a part of the participant’s care team, so as to not add unnecessary exposure to the infectious contagion</w:t>
      </w:r>
      <w:r w:rsidR="0008605A">
        <w:t xml:space="preserve"> and must observe all precautions to avoid exposure.</w:t>
      </w:r>
      <w:bookmarkStart w:id="0" w:name="_GoBack"/>
      <w:bookmarkEnd w:id="0"/>
    </w:p>
    <w:p w14:paraId="6EC99E4E" w14:textId="77777777" w:rsidR="00024875" w:rsidRDefault="00024875" w:rsidP="00655BE6"/>
    <w:p w14:paraId="47CB1603" w14:textId="77777777" w:rsidR="00024875" w:rsidRDefault="00024875" w:rsidP="00655BE6"/>
    <w:p w14:paraId="55185EB5" w14:textId="77777777" w:rsidR="00655BE6" w:rsidRPr="00655BE6" w:rsidRDefault="00655BE6" w:rsidP="00655BE6">
      <w:pPr>
        <w:rPr>
          <w:b/>
        </w:rPr>
      </w:pPr>
      <w:r w:rsidRPr="00655BE6">
        <w:rPr>
          <w:b/>
        </w:rPr>
        <w:t>Informed Consent During a Public Health Crisis:</w:t>
      </w:r>
    </w:p>
    <w:p w14:paraId="22F63BFE" w14:textId="77777777" w:rsidR="00655BE6" w:rsidRDefault="00655BE6" w:rsidP="00655BE6"/>
    <w:p w14:paraId="5B684AE0" w14:textId="77777777" w:rsidR="00E23296" w:rsidRPr="001F197D" w:rsidRDefault="00E23296" w:rsidP="00777A4B">
      <w:pPr>
        <w:ind w:left="360"/>
        <w:rPr>
          <w:b/>
        </w:rPr>
      </w:pPr>
      <w:r w:rsidRPr="001F197D">
        <w:rPr>
          <w:b/>
        </w:rPr>
        <w:t>Participant</w:t>
      </w:r>
    </w:p>
    <w:p w14:paraId="4B0D57C7" w14:textId="77777777" w:rsidR="00777A4B" w:rsidRDefault="00857E0C" w:rsidP="00777A4B">
      <w:pPr>
        <w:ind w:left="360"/>
      </w:pPr>
      <w:r>
        <w:t>During a public health crisis,</w:t>
      </w:r>
      <w:r w:rsidR="00777A4B">
        <w:t xml:space="preserve"> a “remote” informed consent process such as a telephone/tele-video conferencing </w:t>
      </w:r>
      <w:r w:rsidR="00777A4B" w:rsidRPr="001F197D">
        <w:rPr>
          <w:bCs/>
          <w:sz w:val="23"/>
          <w:szCs w:val="23"/>
        </w:rPr>
        <w:t>discussion in conjunction with</w:t>
      </w:r>
      <w:r w:rsidR="00777A4B">
        <w:rPr>
          <w:b/>
          <w:bCs/>
          <w:sz w:val="23"/>
          <w:szCs w:val="23"/>
        </w:rPr>
        <w:t xml:space="preserve"> </w:t>
      </w:r>
      <w:r w:rsidR="00777A4B">
        <w:rPr>
          <w:sz w:val="23"/>
          <w:szCs w:val="23"/>
        </w:rPr>
        <w:t>an informed consent document</w:t>
      </w:r>
      <w:r>
        <w:rPr>
          <w:sz w:val="23"/>
          <w:szCs w:val="23"/>
        </w:rPr>
        <w:t xml:space="preserve"> (</w:t>
      </w:r>
      <w:r w:rsidR="00777A4B">
        <w:rPr>
          <w:sz w:val="23"/>
          <w:szCs w:val="23"/>
        </w:rPr>
        <w:t xml:space="preserve">that </w:t>
      </w:r>
      <w:r>
        <w:rPr>
          <w:sz w:val="23"/>
          <w:szCs w:val="23"/>
        </w:rPr>
        <w:t>is</w:t>
      </w:r>
      <w:r w:rsidR="00777A4B">
        <w:rPr>
          <w:sz w:val="23"/>
          <w:szCs w:val="23"/>
        </w:rPr>
        <w:t xml:space="preserve"> sent to the </w:t>
      </w:r>
      <w:r>
        <w:rPr>
          <w:sz w:val="23"/>
          <w:szCs w:val="23"/>
        </w:rPr>
        <w:t>participant</w:t>
      </w:r>
      <w:r w:rsidR="00777A4B">
        <w:rPr>
          <w:sz w:val="23"/>
          <w:szCs w:val="23"/>
        </w:rPr>
        <w:t>, signed, and trans</w:t>
      </w:r>
      <w:r>
        <w:rPr>
          <w:sz w:val="23"/>
          <w:szCs w:val="23"/>
        </w:rPr>
        <w:t>mitted back to the</w:t>
      </w:r>
      <w:r w:rsidR="00777A4B">
        <w:rPr>
          <w:sz w:val="23"/>
          <w:szCs w:val="23"/>
        </w:rPr>
        <w:t xml:space="preserve"> site</w:t>
      </w:r>
      <w:r>
        <w:rPr>
          <w:sz w:val="23"/>
          <w:szCs w:val="23"/>
        </w:rPr>
        <w:t xml:space="preserve"> investigator</w:t>
      </w:r>
      <w:r w:rsidR="00E23296">
        <w:rPr>
          <w:sz w:val="23"/>
          <w:szCs w:val="23"/>
        </w:rPr>
        <w:t xml:space="preserve"> by</w:t>
      </w:r>
      <w:r>
        <w:rPr>
          <w:sz w:val="23"/>
          <w:szCs w:val="23"/>
        </w:rPr>
        <w:t xml:space="preserve"> </w:t>
      </w:r>
      <w:r w:rsidR="00E23296">
        <w:rPr>
          <w:sz w:val="23"/>
          <w:szCs w:val="23"/>
        </w:rPr>
        <w:t xml:space="preserve">mail, </w:t>
      </w:r>
      <w:r>
        <w:rPr>
          <w:sz w:val="23"/>
          <w:szCs w:val="23"/>
        </w:rPr>
        <w:t xml:space="preserve">fax, secure email or secure messaging app) </w:t>
      </w:r>
      <w:r w:rsidR="00777A4B">
        <w:rPr>
          <w:sz w:val="23"/>
          <w:szCs w:val="23"/>
        </w:rPr>
        <w:t xml:space="preserve">and signed by the consenting </w:t>
      </w:r>
      <w:r>
        <w:rPr>
          <w:sz w:val="23"/>
          <w:szCs w:val="23"/>
        </w:rPr>
        <w:t>investigator/research staff</w:t>
      </w:r>
      <w:r w:rsidR="00777A4B">
        <w:rPr>
          <w:sz w:val="23"/>
          <w:szCs w:val="23"/>
        </w:rPr>
        <w:t xml:space="preserve"> befor</w:t>
      </w:r>
      <w:r>
        <w:rPr>
          <w:sz w:val="23"/>
          <w:szCs w:val="23"/>
        </w:rPr>
        <w:t>e any research procedures begin</w:t>
      </w:r>
      <w:r w:rsidR="00E23296">
        <w:rPr>
          <w:sz w:val="23"/>
          <w:szCs w:val="23"/>
        </w:rPr>
        <w:t>, may be used</w:t>
      </w:r>
      <w:r>
        <w:rPr>
          <w:sz w:val="23"/>
          <w:szCs w:val="23"/>
        </w:rPr>
        <w:t>.</w:t>
      </w:r>
    </w:p>
    <w:p w14:paraId="59ED566B" w14:textId="77777777" w:rsidR="00777A4B" w:rsidRDefault="00777A4B" w:rsidP="00D71CAD">
      <w:pPr>
        <w:ind w:left="360"/>
      </w:pPr>
    </w:p>
    <w:p w14:paraId="01191AA5" w14:textId="77777777" w:rsidR="00857E0C" w:rsidRPr="001F197D" w:rsidRDefault="00857E0C" w:rsidP="00D71CAD">
      <w:pPr>
        <w:ind w:left="360"/>
        <w:rPr>
          <w:b/>
        </w:rPr>
      </w:pPr>
      <w:r w:rsidRPr="001F197D">
        <w:rPr>
          <w:b/>
        </w:rPr>
        <w:t>Legally Authorized Representative</w:t>
      </w:r>
      <w:r w:rsidR="004B501A">
        <w:rPr>
          <w:b/>
        </w:rPr>
        <w:t xml:space="preserve"> (LAR)</w:t>
      </w:r>
    </w:p>
    <w:p w14:paraId="3B1FE244" w14:textId="77777777" w:rsidR="00083978" w:rsidRDefault="00554ED4" w:rsidP="00D71CAD">
      <w:pPr>
        <w:ind w:left="360"/>
      </w:pPr>
      <w:r>
        <w:t>When potential participants are in isolation and require a Legally Authorized Representative (LAR) to consent on their behalf, there may be challenges</w:t>
      </w:r>
      <w:r w:rsidR="00E22946">
        <w:t xml:space="preserve"> in</w:t>
      </w:r>
      <w:r>
        <w:t xml:space="preserve"> obtaining the LAR’s physical signature due to</w:t>
      </w:r>
      <w:r w:rsidR="00E23296">
        <w:t xml:space="preserve"> the facility’s</w:t>
      </w:r>
      <w:r>
        <w:t xml:space="preserve"> visitation restrictions</w:t>
      </w:r>
      <w:r w:rsidR="0008605A">
        <w:t xml:space="preserve"> or the LAR themselves being </w:t>
      </w:r>
      <w:r w:rsidR="00777A4B">
        <w:t>quarantined</w:t>
      </w:r>
      <w:r>
        <w:t xml:space="preserve">. </w:t>
      </w:r>
    </w:p>
    <w:p w14:paraId="513818A1" w14:textId="77777777" w:rsidR="00083978" w:rsidRDefault="00083978" w:rsidP="00D71CAD">
      <w:pPr>
        <w:ind w:left="360"/>
      </w:pPr>
    </w:p>
    <w:p w14:paraId="7015BA31" w14:textId="77777777" w:rsidR="000456FC" w:rsidRDefault="00554ED4" w:rsidP="00D71CAD">
      <w:pPr>
        <w:ind w:left="360"/>
      </w:pPr>
      <w:r>
        <w:t xml:space="preserve">When investigators are faced with these challenges, the IRB will allow the LAR to consent </w:t>
      </w:r>
      <w:r w:rsidR="00083978">
        <w:t>by</w:t>
      </w:r>
      <w:r>
        <w:t xml:space="preserve"> </w:t>
      </w:r>
      <w:r w:rsidR="00E22946">
        <w:t xml:space="preserve">telephone/tele-video </w:t>
      </w:r>
      <w:r w:rsidR="00E46EE8">
        <w:t>conference</w:t>
      </w:r>
      <w:r w:rsidR="00E46EE8" w:rsidRPr="00E46EE8">
        <w:rPr>
          <w:bCs/>
          <w:sz w:val="23"/>
          <w:szCs w:val="23"/>
        </w:rPr>
        <w:t xml:space="preserve"> </w:t>
      </w:r>
      <w:r w:rsidR="00E46EE8" w:rsidRPr="00FC099B">
        <w:rPr>
          <w:bCs/>
          <w:sz w:val="23"/>
          <w:szCs w:val="23"/>
        </w:rPr>
        <w:t>in conjunction with</w:t>
      </w:r>
      <w:r w:rsidR="00E46EE8">
        <w:rPr>
          <w:b/>
          <w:bCs/>
          <w:sz w:val="23"/>
          <w:szCs w:val="23"/>
        </w:rPr>
        <w:t xml:space="preserve"> </w:t>
      </w:r>
      <w:r w:rsidR="00E46EE8">
        <w:rPr>
          <w:sz w:val="23"/>
          <w:szCs w:val="23"/>
        </w:rPr>
        <w:t>an informed consent document</w:t>
      </w:r>
      <w:r w:rsidR="000456FC">
        <w:rPr>
          <w:sz w:val="23"/>
          <w:szCs w:val="23"/>
        </w:rPr>
        <w:t>.</w:t>
      </w:r>
      <w:r w:rsidR="00083978">
        <w:t xml:space="preserve"> </w:t>
      </w:r>
    </w:p>
    <w:p w14:paraId="0C94E49D" w14:textId="77777777" w:rsidR="000456FC" w:rsidRDefault="000456FC" w:rsidP="00D71CAD">
      <w:pPr>
        <w:ind w:left="360"/>
      </w:pPr>
    </w:p>
    <w:p w14:paraId="4713036C" w14:textId="77777777" w:rsidR="000456FC" w:rsidRDefault="000456FC" w:rsidP="001F197D">
      <w:pPr>
        <w:ind w:firstLine="360"/>
      </w:pPr>
      <w:r>
        <w:t>Remote LAR Consent Process</w:t>
      </w:r>
      <w:r w:rsidR="00FA5A5C">
        <w:t>:</w:t>
      </w:r>
    </w:p>
    <w:p w14:paraId="3F771C67" w14:textId="77777777" w:rsidR="00995317" w:rsidRDefault="00995317" w:rsidP="00995317">
      <w:pPr>
        <w:numPr>
          <w:ilvl w:val="0"/>
          <w:numId w:val="6"/>
        </w:numPr>
      </w:pPr>
      <w:r>
        <w:t>The confirm</w:t>
      </w:r>
      <w:r w:rsidR="0089640C">
        <w:t>ation</w:t>
      </w:r>
      <w:r>
        <w:t xml:space="preserve"> the LAR’s identity</w:t>
      </w:r>
      <w:r w:rsidR="0089640C">
        <w:t xml:space="preserve"> and relationship to the participant</w:t>
      </w:r>
      <w:r>
        <w:t xml:space="preserve"> must be documented in the research record.</w:t>
      </w:r>
    </w:p>
    <w:p w14:paraId="578970E9" w14:textId="77777777" w:rsidR="000456FC" w:rsidRDefault="00995317" w:rsidP="001F197D">
      <w:pPr>
        <w:numPr>
          <w:ilvl w:val="0"/>
          <w:numId w:val="6"/>
        </w:numPr>
      </w:pPr>
      <w:r>
        <w:t xml:space="preserve">The </w:t>
      </w:r>
      <w:r w:rsidR="000456FC">
        <w:t>LAR is provided an informed consent document that has been transmitted to the LAR by mail, fax, secure email or secure messaging app</w:t>
      </w:r>
      <w:r>
        <w:t>.</w:t>
      </w:r>
    </w:p>
    <w:p w14:paraId="4EBD7E26" w14:textId="77777777" w:rsidR="00995317" w:rsidRDefault="00995317" w:rsidP="001F197D">
      <w:pPr>
        <w:numPr>
          <w:ilvl w:val="0"/>
          <w:numId w:val="6"/>
        </w:numPr>
      </w:pPr>
      <w:r>
        <w:t>The investigator/research staff will read and review the consent with the LAR by</w:t>
      </w:r>
      <w:r w:rsidRPr="00995317">
        <w:t xml:space="preserve"> </w:t>
      </w:r>
      <w:r>
        <w:t>telephone/tele-video conference.</w:t>
      </w:r>
    </w:p>
    <w:p w14:paraId="569D5A09" w14:textId="77777777" w:rsidR="00995317" w:rsidRDefault="00995317" w:rsidP="00995317">
      <w:pPr>
        <w:numPr>
          <w:ilvl w:val="0"/>
          <w:numId w:val="4"/>
        </w:numPr>
      </w:pPr>
      <w:r>
        <w:t>Two individuals, who are able to physically sign the consent document, must act as witnesses to the           telephone/tele-video conference with to the LAR.</w:t>
      </w:r>
      <w:r w:rsidRPr="00995317">
        <w:t xml:space="preserve"> </w:t>
      </w:r>
      <w:r>
        <w:t>Each witness must sign the informed consent form.</w:t>
      </w:r>
      <w:r w:rsidR="0089640C" w:rsidRPr="0089640C">
        <w:t xml:space="preserve"> </w:t>
      </w:r>
      <w:r w:rsidR="0089640C">
        <w:t xml:space="preserve"> Witnesses must have access to the participant under the contact isolation restrictions.</w:t>
      </w:r>
    </w:p>
    <w:p w14:paraId="6D93EA20" w14:textId="77777777" w:rsidR="00777A4B" w:rsidRDefault="00777A4B" w:rsidP="00607429">
      <w:pPr>
        <w:numPr>
          <w:ilvl w:val="0"/>
          <w:numId w:val="4"/>
        </w:numPr>
      </w:pPr>
      <w:r>
        <w:t>The LAR should sign the consent form and return an image of the signed page (e.g. by fax, secure email or secure messaging app)</w:t>
      </w:r>
      <w:r w:rsidR="0089640C">
        <w:t>.</w:t>
      </w:r>
    </w:p>
    <w:p w14:paraId="5E89CC2D" w14:textId="77777777" w:rsidR="00777A4B" w:rsidRDefault="00777A4B" w:rsidP="00D71CAD">
      <w:pPr>
        <w:numPr>
          <w:ilvl w:val="0"/>
          <w:numId w:val="4"/>
        </w:numPr>
      </w:pPr>
      <w:r>
        <w:t xml:space="preserve">The </w:t>
      </w:r>
      <w:r w:rsidR="00857E0C">
        <w:t>use and the reason</w:t>
      </w:r>
      <w:r>
        <w:t xml:space="preserve"> for an alternative consent procedure is </w:t>
      </w:r>
      <w:r w:rsidR="00857E0C">
        <w:t>documented</w:t>
      </w:r>
      <w:r>
        <w:t xml:space="preserve"> in the research record.</w:t>
      </w:r>
    </w:p>
    <w:p w14:paraId="676AD29B" w14:textId="77777777" w:rsidR="00777A4B" w:rsidRDefault="00777A4B" w:rsidP="001F197D"/>
    <w:p w14:paraId="081E729B" w14:textId="77777777" w:rsidR="00D71CAD" w:rsidRDefault="00D71CAD" w:rsidP="00D71CAD"/>
    <w:p w14:paraId="131F662C" w14:textId="77777777" w:rsidR="00D71CAD" w:rsidRDefault="00D71CAD" w:rsidP="00D71CAD">
      <w:pPr>
        <w:ind w:left="288"/>
      </w:pPr>
      <w:r>
        <w:t xml:space="preserve">All other requirements of informed consent apply. </w:t>
      </w:r>
    </w:p>
    <w:p w14:paraId="369F72DD" w14:textId="77777777" w:rsidR="00D71CAD" w:rsidRDefault="00D71CAD" w:rsidP="00D71CAD"/>
    <w:p w14:paraId="1E0649B3" w14:textId="77777777" w:rsidR="00D71CAD" w:rsidRDefault="00D71CAD" w:rsidP="00D71CAD">
      <w:pPr>
        <w:ind w:left="360"/>
      </w:pPr>
      <w:r>
        <w:t>See WSU IRB Policy:</w:t>
      </w:r>
    </w:p>
    <w:p w14:paraId="72462174" w14:textId="77777777" w:rsidR="00D71CAD" w:rsidRDefault="00D71CAD" w:rsidP="00D71CAD">
      <w:pPr>
        <w:numPr>
          <w:ilvl w:val="0"/>
          <w:numId w:val="4"/>
        </w:numPr>
      </w:pPr>
      <w:r>
        <w:t>9-1: Requirements of Informed Consent.</w:t>
      </w:r>
    </w:p>
    <w:p w14:paraId="077E5FA5" w14:textId="77777777" w:rsidR="00607429" w:rsidRDefault="00607429" w:rsidP="00F9703D">
      <w:pPr>
        <w:numPr>
          <w:ilvl w:val="2"/>
          <w:numId w:val="4"/>
        </w:numPr>
      </w:pPr>
      <w:r>
        <w:t>3.1 – Written Informed Consent</w:t>
      </w:r>
    </w:p>
    <w:p w14:paraId="16280433" w14:textId="77777777" w:rsidR="00607429" w:rsidRDefault="00607429" w:rsidP="00F9703D">
      <w:pPr>
        <w:numPr>
          <w:ilvl w:val="3"/>
          <w:numId w:val="4"/>
        </w:numPr>
      </w:pPr>
      <w:r>
        <w:t>3.1.1 – Written Informed Consent via Fax</w:t>
      </w:r>
    </w:p>
    <w:p w14:paraId="1835E867" w14:textId="77777777" w:rsidR="00607429" w:rsidRDefault="00607429" w:rsidP="00F9703D">
      <w:pPr>
        <w:numPr>
          <w:ilvl w:val="3"/>
          <w:numId w:val="4"/>
        </w:numPr>
      </w:pPr>
      <w:r>
        <w:t>3.1.2 – Obtaining Informed Consent via Mail</w:t>
      </w:r>
    </w:p>
    <w:p w14:paraId="67218305" w14:textId="77777777" w:rsidR="00607429" w:rsidRDefault="00607429" w:rsidP="00F9703D">
      <w:pPr>
        <w:numPr>
          <w:ilvl w:val="3"/>
          <w:numId w:val="4"/>
        </w:numPr>
      </w:pPr>
      <w:r>
        <w:t>3.1.3 – Electronic Consent</w:t>
      </w:r>
    </w:p>
    <w:p w14:paraId="0BAC3B39" w14:textId="77777777" w:rsidR="00D71CAD" w:rsidRDefault="00D71CAD" w:rsidP="00D71CAD">
      <w:pPr>
        <w:numPr>
          <w:ilvl w:val="0"/>
          <w:numId w:val="4"/>
        </w:numPr>
      </w:pPr>
      <w:r>
        <w:t>9-2: Informed Consent Involving Non-English Speaking Participants</w:t>
      </w:r>
    </w:p>
    <w:p w14:paraId="6968BC77" w14:textId="77777777" w:rsidR="00D71CAD" w:rsidRDefault="00D71CAD" w:rsidP="00D71CAD">
      <w:pPr>
        <w:numPr>
          <w:ilvl w:val="0"/>
          <w:numId w:val="4"/>
        </w:numPr>
      </w:pPr>
      <w:r>
        <w:t>9-3: Informed Consent Process</w:t>
      </w:r>
    </w:p>
    <w:p w14:paraId="72131B5C" w14:textId="77777777" w:rsidR="00694629" w:rsidRDefault="00694629" w:rsidP="00694629">
      <w:pPr>
        <w:numPr>
          <w:ilvl w:val="2"/>
          <w:numId w:val="4"/>
        </w:numPr>
      </w:pPr>
      <w:r>
        <w:t>Electronic Consent</w:t>
      </w:r>
    </w:p>
    <w:p w14:paraId="620D9B78" w14:textId="77777777" w:rsidR="00D71CAD" w:rsidRPr="002F62B4" w:rsidRDefault="00D71CAD" w:rsidP="00D71CAD">
      <w:pPr>
        <w:ind w:left="720"/>
      </w:pPr>
    </w:p>
    <w:sectPr w:rsidR="00D71CAD" w:rsidRPr="002F62B4" w:rsidSect="00554ED4">
      <w:footerReference w:type="default" r:id="rId10"/>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9F0E1" w16cex:dateUtc="2020-03-28T19: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9686F2" w16cid:durableId="2229F0E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2AD8A" w14:textId="77777777" w:rsidR="00257BAE" w:rsidRDefault="00257BAE">
      <w:r>
        <w:separator/>
      </w:r>
    </w:p>
  </w:endnote>
  <w:endnote w:type="continuationSeparator" w:id="0">
    <w:p w14:paraId="39C613B8" w14:textId="77777777" w:rsidR="00257BAE" w:rsidRDefault="00257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EngraversGothic BT">
    <w:altName w:val="Arial Narrow"/>
    <w:charset w:val="00"/>
    <w:family w:val="swiss"/>
    <w:pitch w:val="variable"/>
    <w:sig w:usb0="00000007" w:usb1="00000000" w:usb2="00000000" w:usb3="00000000" w:csb0="0000001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A0CE3" w14:textId="77777777" w:rsidR="00395247" w:rsidRPr="0077580B" w:rsidRDefault="0077580B" w:rsidP="0077580B">
    <w:pPr>
      <w:pStyle w:val="Footer"/>
      <w:rPr>
        <w:sz w:val="20"/>
        <w:szCs w:val="20"/>
      </w:rPr>
    </w:pPr>
    <w:r>
      <w:rPr>
        <w:sz w:val="20"/>
        <w:szCs w:val="20"/>
      </w:rPr>
      <w:tab/>
    </w:r>
  </w:p>
  <w:p w14:paraId="4E6D3ECD" w14:textId="77777777" w:rsidR="00395247" w:rsidRPr="0077580B" w:rsidRDefault="007549E1" w:rsidP="00DC3F20">
    <w:pPr>
      <w:pStyle w:val="Footer"/>
      <w:jc w:val="right"/>
      <w:rPr>
        <w:sz w:val="20"/>
        <w:szCs w:val="20"/>
      </w:rPr>
    </w:pPr>
    <w:r w:rsidRPr="0077580B">
      <w:rPr>
        <w:sz w:val="20"/>
        <w:szCs w:val="20"/>
      </w:rPr>
      <w:t xml:space="preserve">IRB </w:t>
    </w:r>
    <w:r w:rsidR="00395247" w:rsidRPr="0077580B">
      <w:rPr>
        <w:sz w:val="20"/>
        <w:szCs w:val="20"/>
      </w:rPr>
      <w:t>Policy</w:t>
    </w:r>
    <w:r w:rsidR="00095658" w:rsidRPr="0077580B">
      <w:rPr>
        <w:sz w:val="20"/>
        <w:szCs w:val="20"/>
      </w:rPr>
      <w:t xml:space="preserve"> and </w:t>
    </w:r>
    <w:r w:rsidR="00395247" w:rsidRPr="0077580B">
      <w:rPr>
        <w:sz w:val="20"/>
        <w:szCs w:val="20"/>
      </w:rPr>
      <w:t>Procedure</w:t>
    </w:r>
  </w:p>
  <w:p w14:paraId="500F0C3F" w14:textId="77777777" w:rsidR="00395247" w:rsidRPr="0077580B" w:rsidRDefault="00395247" w:rsidP="00DC3F20">
    <w:pPr>
      <w:pStyle w:val="Footer"/>
      <w:jc w:val="right"/>
      <w:rPr>
        <w:sz w:val="20"/>
        <w:szCs w:val="20"/>
      </w:rPr>
    </w:pPr>
    <w:r w:rsidRPr="0077580B">
      <w:rPr>
        <w:sz w:val="20"/>
        <w:szCs w:val="20"/>
      </w:rPr>
      <w:t>Types of IRB Reviews</w:t>
    </w:r>
  </w:p>
  <w:p w14:paraId="6C55BB8E" w14:textId="0A9AA027" w:rsidR="00395247" w:rsidRPr="0077580B" w:rsidRDefault="00395247" w:rsidP="00DC3F20">
    <w:pPr>
      <w:pStyle w:val="Footer"/>
      <w:jc w:val="right"/>
      <w:rPr>
        <w:sz w:val="20"/>
        <w:szCs w:val="20"/>
      </w:rPr>
    </w:pPr>
    <w:r w:rsidRPr="0077580B">
      <w:rPr>
        <w:sz w:val="20"/>
        <w:szCs w:val="20"/>
      </w:rPr>
      <w:t xml:space="preserve">Page </w:t>
    </w:r>
    <w:r w:rsidRPr="0077580B">
      <w:rPr>
        <w:sz w:val="20"/>
        <w:szCs w:val="20"/>
      </w:rPr>
      <w:fldChar w:fldCharType="begin"/>
    </w:r>
    <w:r w:rsidRPr="0077580B">
      <w:rPr>
        <w:sz w:val="20"/>
        <w:szCs w:val="20"/>
      </w:rPr>
      <w:instrText xml:space="preserve"> PAGE </w:instrText>
    </w:r>
    <w:r w:rsidRPr="0077580B">
      <w:rPr>
        <w:sz w:val="20"/>
        <w:szCs w:val="20"/>
      </w:rPr>
      <w:fldChar w:fldCharType="separate"/>
    </w:r>
    <w:r w:rsidR="0014140A">
      <w:rPr>
        <w:noProof/>
        <w:sz w:val="20"/>
        <w:szCs w:val="20"/>
      </w:rPr>
      <w:t>4</w:t>
    </w:r>
    <w:r w:rsidRPr="0077580B">
      <w:rPr>
        <w:sz w:val="20"/>
        <w:szCs w:val="20"/>
      </w:rPr>
      <w:fldChar w:fldCharType="end"/>
    </w:r>
    <w:r w:rsidRPr="0077580B">
      <w:rPr>
        <w:sz w:val="20"/>
        <w:szCs w:val="20"/>
      </w:rPr>
      <w:t xml:space="preserve"> of </w:t>
    </w:r>
    <w:r w:rsidRPr="0077580B">
      <w:rPr>
        <w:sz w:val="20"/>
        <w:szCs w:val="20"/>
      </w:rPr>
      <w:fldChar w:fldCharType="begin"/>
    </w:r>
    <w:r w:rsidRPr="0077580B">
      <w:rPr>
        <w:sz w:val="20"/>
        <w:szCs w:val="20"/>
      </w:rPr>
      <w:instrText xml:space="preserve"> NUMPAGES </w:instrText>
    </w:r>
    <w:r w:rsidRPr="0077580B">
      <w:rPr>
        <w:sz w:val="20"/>
        <w:szCs w:val="20"/>
      </w:rPr>
      <w:fldChar w:fldCharType="separate"/>
    </w:r>
    <w:r w:rsidR="0014140A">
      <w:rPr>
        <w:noProof/>
        <w:sz w:val="20"/>
        <w:szCs w:val="20"/>
      </w:rPr>
      <w:t>5</w:t>
    </w:r>
    <w:r w:rsidRPr="0077580B">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F7DC4" w14:textId="77777777" w:rsidR="00257BAE" w:rsidRDefault="00257BAE">
      <w:r>
        <w:separator/>
      </w:r>
    </w:p>
  </w:footnote>
  <w:footnote w:type="continuationSeparator" w:id="0">
    <w:p w14:paraId="333E1AAA" w14:textId="77777777" w:rsidR="00257BAE" w:rsidRDefault="00257B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145CC"/>
    <w:multiLevelType w:val="hybridMultilevel"/>
    <w:tmpl w:val="D4C66E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725F88"/>
    <w:multiLevelType w:val="hybridMultilevel"/>
    <w:tmpl w:val="58FA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83517"/>
    <w:multiLevelType w:val="hybridMultilevel"/>
    <w:tmpl w:val="18FAAE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76D4921"/>
    <w:multiLevelType w:val="hybridMultilevel"/>
    <w:tmpl w:val="055AC6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EC15E5"/>
    <w:multiLevelType w:val="hybridMultilevel"/>
    <w:tmpl w:val="4C9084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08B4209"/>
    <w:multiLevelType w:val="hybridMultilevel"/>
    <w:tmpl w:val="14845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Et8MYvEBSM5aI0Ntwg+36TRcCrWNpFQvisBn/Z+o3WO+Q426e1E8g8LX/P8lJTlyT6sP9FW0yhUzMjgDOHgJg==" w:salt="1vws3/yxQUFyvdVbTvtP4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98B"/>
    <w:rsid w:val="00012133"/>
    <w:rsid w:val="00024875"/>
    <w:rsid w:val="000259DE"/>
    <w:rsid w:val="00031E2E"/>
    <w:rsid w:val="00034AE3"/>
    <w:rsid w:val="000456FC"/>
    <w:rsid w:val="00063BF2"/>
    <w:rsid w:val="000643E9"/>
    <w:rsid w:val="00064871"/>
    <w:rsid w:val="00067C77"/>
    <w:rsid w:val="00073F43"/>
    <w:rsid w:val="00076060"/>
    <w:rsid w:val="0007728F"/>
    <w:rsid w:val="00077CFF"/>
    <w:rsid w:val="00081C5F"/>
    <w:rsid w:val="00083978"/>
    <w:rsid w:val="0008605A"/>
    <w:rsid w:val="00095658"/>
    <w:rsid w:val="000A664E"/>
    <w:rsid w:val="000A66F0"/>
    <w:rsid w:val="000C7D78"/>
    <w:rsid w:val="000D254B"/>
    <w:rsid w:val="000D26D8"/>
    <w:rsid w:val="000D6497"/>
    <w:rsid w:val="000D6A4C"/>
    <w:rsid w:val="000D6D38"/>
    <w:rsid w:val="000E63DC"/>
    <w:rsid w:val="000F6BC4"/>
    <w:rsid w:val="00111FDA"/>
    <w:rsid w:val="00131BB3"/>
    <w:rsid w:val="00137F3E"/>
    <w:rsid w:val="0014140A"/>
    <w:rsid w:val="0014302A"/>
    <w:rsid w:val="001432DE"/>
    <w:rsid w:val="00152A0E"/>
    <w:rsid w:val="00164D8C"/>
    <w:rsid w:val="001765E9"/>
    <w:rsid w:val="00181E62"/>
    <w:rsid w:val="00183A4C"/>
    <w:rsid w:val="00186E44"/>
    <w:rsid w:val="00191573"/>
    <w:rsid w:val="0019365E"/>
    <w:rsid w:val="001A239B"/>
    <w:rsid w:val="001B524B"/>
    <w:rsid w:val="001C09DF"/>
    <w:rsid w:val="001C230F"/>
    <w:rsid w:val="001C280B"/>
    <w:rsid w:val="001C4783"/>
    <w:rsid w:val="001D5E8B"/>
    <w:rsid w:val="001E3C45"/>
    <w:rsid w:val="001E498B"/>
    <w:rsid w:val="001F197D"/>
    <w:rsid w:val="00201F4B"/>
    <w:rsid w:val="00204D8B"/>
    <w:rsid w:val="00231AEE"/>
    <w:rsid w:val="00234600"/>
    <w:rsid w:val="00245C40"/>
    <w:rsid w:val="0025295F"/>
    <w:rsid w:val="00257BAE"/>
    <w:rsid w:val="00287D74"/>
    <w:rsid w:val="002D035B"/>
    <w:rsid w:val="002D476D"/>
    <w:rsid w:val="002F62B4"/>
    <w:rsid w:val="00336852"/>
    <w:rsid w:val="003477C1"/>
    <w:rsid w:val="00355265"/>
    <w:rsid w:val="003603D6"/>
    <w:rsid w:val="00367343"/>
    <w:rsid w:val="00381413"/>
    <w:rsid w:val="00395247"/>
    <w:rsid w:val="00397F43"/>
    <w:rsid w:val="003B3F1C"/>
    <w:rsid w:val="003B50AC"/>
    <w:rsid w:val="003E6244"/>
    <w:rsid w:val="003E769B"/>
    <w:rsid w:val="00402D78"/>
    <w:rsid w:val="00417E17"/>
    <w:rsid w:val="00434952"/>
    <w:rsid w:val="0044101D"/>
    <w:rsid w:val="004678E6"/>
    <w:rsid w:val="004761BF"/>
    <w:rsid w:val="004800B7"/>
    <w:rsid w:val="004938F9"/>
    <w:rsid w:val="004964D5"/>
    <w:rsid w:val="004B3387"/>
    <w:rsid w:val="004B501A"/>
    <w:rsid w:val="004C3107"/>
    <w:rsid w:val="004F2CC5"/>
    <w:rsid w:val="0050352F"/>
    <w:rsid w:val="00510B17"/>
    <w:rsid w:val="0051145C"/>
    <w:rsid w:val="005131C8"/>
    <w:rsid w:val="00521F3C"/>
    <w:rsid w:val="0052477D"/>
    <w:rsid w:val="005367F1"/>
    <w:rsid w:val="00540FD7"/>
    <w:rsid w:val="00554ED4"/>
    <w:rsid w:val="00560FDE"/>
    <w:rsid w:val="0056176E"/>
    <w:rsid w:val="00577542"/>
    <w:rsid w:val="005A13F8"/>
    <w:rsid w:val="005B10C2"/>
    <w:rsid w:val="005B77C3"/>
    <w:rsid w:val="005D50D8"/>
    <w:rsid w:val="005D6B21"/>
    <w:rsid w:val="005E0B9F"/>
    <w:rsid w:val="005E251A"/>
    <w:rsid w:val="005F2883"/>
    <w:rsid w:val="005F2B45"/>
    <w:rsid w:val="005F667E"/>
    <w:rsid w:val="005F76C4"/>
    <w:rsid w:val="00605663"/>
    <w:rsid w:val="00607429"/>
    <w:rsid w:val="00627CBA"/>
    <w:rsid w:val="006400D0"/>
    <w:rsid w:val="006442DA"/>
    <w:rsid w:val="00655BE6"/>
    <w:rsid w:val="0066379E"/>
    <w:rsid w:val="006753B9"/>
    <w:rsid w:val="006809CC"/>
    <w:rsid w:val="00694629"/>
    <w:rsid w:val="006C02D3"/>
    <w:rsid w:val="006D1074"/>
    <w:rsid w:val="006D25D1"/>
    <w:rsid w:val="006D3B91"/>
    <w:rsid w:val="006F2EA4"/>
    <w:rsid w:val="006F4692"/>
    <w:rsid w:val="00702B36"/>
    <w:rsid w:val="00713433"/>
    <w:rsid w:val="00730A77"/>
    <w:rsid w:val="00740CF8"/>
    <w:rsid w:val="00745BBF"/>
    <w:rsid w:val="0074701A"/>
    <w:rsid w:val="00747D5E"/>
    <w:rsid w:val="007549E1"/>
    <w:rsid w:val="00767375"/>
    <w:rsid w:val="0077580B"/>
    <w:rsid w:val="00777A4B"/>
    <w:rsid w:val="00781170"/>
    <w:rsid w:val="00794386"/>
    <w:rsid w:val="007A0115"/>
    <w:rsid w:val="007A1695"/>
    <w:rsid w:val="007A7C25"/>
    <w:rsid w:val="007B009F"/>
    <w:rsid w:val="007C1F3D"/>
    <w:rsid w:val="007D1EC8"/>
    <w:rsid w:val="007E1B9D"/>
    <w:rsid w:val="007E205B"/>
    <w:rsid w:val="007E78AC"/>
    <w:rsid w:val="00800E54"/>
    <w:rsid w:val="008028AC"/>
    <w:rsid w:val="008145D4"/>
    <w:rsid w:val="0082318E"/>
    <w:rsid w:val="008406FC"/>
    <w:rsid w:val="00852030"/>
    <w:rsid w:val="0085389A"/>
    <w:rsid w:val="00857E0C"/>
    <w:rsid w:val="008823B7"/>
    <w:rsid w:val="008824DC"/>
    <w:rsid w:val="0089640C"/>
    <w:rsid w:val="00897F88"/>
    <w:rsid w:val="008A1934"/>
    <w:rsid w:val="008D11B3"/>
    <w:rsid w:val="00915AC8"/>
    <w:rsid w:val="00922C90"/>
    <w:rsid w:val="00923E98"/>
    <w:rsid w:val="0092467D"/>
    <w:rsid w:val="009534A2"/>
    <w:rsid w:val="009922C8"/>
    <w:rsid w:val="00995317"/>
    <w:rsid w:val="009B30AB"/>
    <w:rsid w:val="009B691E"/>
    <w:rsid w:val="009D7E06"/>
    <w:rsid w:val="009E1C49"/>
    <w:rsid w:val="009E4C5F"/>
    <w:rsid w:val="009E4EC0"/>
    <w:rsid w:val="009F602A"/>
    <w:rsid w:val="00A144A9"/>
    <w:rsid w:val="00A15809"/>
    <w:rsid w:val="00A16AD2"/>
    <w:rsid w:val="00A31EC1"/>
    <w:rsid w:val="00A373F0"/>
    <w:rsid w:val="00A40BE1"/>
    <w:rsid w:val="00A76658"/>
    <w:rsid w:val="00A814F2"/>
    <w:rsid w:val="00AA4545"/>
    <w:rsid w:val="00AC5F3C"/>
    <w:rsid w:val="00AD13B7"/>
    <w:rsid w:val="00AF244A"/>
    <w:rsid w:val="00B0596C"/>
    <w:rsid w:val="00B14132"/>
    <w:rsid w:val="00B227E1"/>
    <w:rsid w:val="00B36E5B"/>
    <w:rsid w:val="00B41A8F"/>
    <w:rsid w:val="00B4465B"/>
    <w:rsid w:val="00B56694"/>
    <w:rsid w:val="00B666AC"/>
    <w:rsid w:val="00B67094"/>
    <w:rsid w:val="00B73111"/>
    <w:rsid w:val="00B90ED1"/>
    <w:rsid w:val="00BA39C4"/>
    <w:rsid w:val="00BA52DE"/>
    <w:rsid w:val="00BB680B"/>
    <w:rsid w:val="00BC0B31"/>
    <w:rsid w:val="00BC4284"/>
    <w:rsid w:val="00BD68AC"/>
    <w:rsid w:val="00BE68D9"/>
    <w:rsid w:val="00C01CAE"/>
    <w:rsid w:val="00C02696"/>
    <w:rsid w:val="00C058FA"/>
    <w:rsid w:val="00C22EB6"/>
    <w:rsid w:val="00C22F3F"/>
    <w:rsid w:val="00C25A03"/>
    <w:rsid w:val="00C81F75"/>
    <w:rsid w:val="00C90FDC"/>
    <w:rsid w:val="00CA2FAA"/>
    <w:rsid w:val="00CA6526"/>
    <w:rsid w:val="00CC57D0"/>
    <w:rsid w:val="00CC5918"/>
    <w:rsid w:val="00CC5F94"/>
    <w:rsid w:val="00CC7964"/>
    <w:rsid w:val="00CF3F6F"/>
    <w:rsid w:val="00D0144F"/>
    <w:rsid w:val="00D04FF7"/>
    <w:rsid w:val="00D154B3"/>
    <w:rsid w:val="00D17DFE"/>
    <w:rsid w:val="00D5167E"/>
    <w:rsid w:val="00D6388D"/>
    <w:rsid w:val="00D71CAD"/>
    <w:rsid w:val="00DC3F20"/>
    <w:rsid w:val="00DC5944"/>
    <w:rsid w:val="00DC7F86"/>
    <w:rsid w:val="00DD3BA3"/>
    <w:rsid w:val="00E22946"/>
    <w:rsid w:val="00E23296"/>
    <w:rsid w:val="00E423A8"/>
    <w:rsid w:val="00E46EE8"/>
    <w:rsid w:val="00E47EBF"/>
    <w:rsid w:val="00E60CF7"/>
    <w:rsid w:val="00E641E8"/>
    <w:rsid w:val="00E64861"/>
    <w:rsid w:val="00E728B7"/>
    <w:rsid w:val="00E952ED"/>
    <w:rsid w:val="00EB0C5F"/>
    <w:rsid w:val="00EC7BA7"/>
    <w:rsid w:val="00ED7E61"/>
    <w:rsid w:val="00F1076D"/>
    <w:rsid w:val="00F230D8"/>
    <w:rsid w:val="00F26DD3"/>
    <w:rsid w:val="00F27CE2"/>
    <w:rsid w:val="00F308AA"/>
    <w:rsid w:val="00F408A5"/>
    <w:rsid w:val="00F677CC"/>
    <w:rsid w:val="00F7063B"/>
    <w:rsid w:val="00F75372"/>
    <w:rsid w:val="00F9703D"/>
    <w:rsid w:val="00FA5A5C"/>
    <w:rsid w:val="00FA6118"/>
    <w:rsid w:val="00FC7179"/>
    <w:rsid w:val="00FD7BCD"/>
    <w:rsid w:val="00FE2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02321"/>
  <w15:chartTrackingRefBased/>
  <w15:docId w15:val="{5A630D5C-77EB-DF49-B8CC-41F74AC84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98B"/>
    <w:rPr>
      <w:rFonts w:ascii="Arial Narrow" w:hAnsi="Arial Narrow"/>
      <w:sz w:val="24"/>
      <w:szCs w:val="28"/>
    </w:rPr>
  </w:style>
  <w:style w:type="paragraph" w:styleId="Heading1">
    <w:name w:val="heading 1"/>
    <w:basedOn w:val="Normal"/>
    <w:next w:val="Normal"/>
    <w:qFormat/>
    <w:rsid w:val="00DC3F20"/>
    <w:pPr>
      <w:keepNext/>
      <w:outlineLvl w:val="0"/>
    </w:pPr>
    <w:rPr>
      <w:rFonts w:ascii="Arial" w:hAnsi="Arial" w:cs="Arial"/>
      <w:b/>
      <w:bCs/>
      <w:sz w:val="28"/>
    </w:rPr>
  </w:style>
  <w:style w:type="paragraph" w:styleId="Heading2">
    <w:name w:val="heading 2"/>
    <w:basedOn w:val="Normal"/>
    <w:next w:val="Normal"/>
    <w:qFormat/>
    <w:rsid w:val="007A1695"/>
    <w:pPr>
      <w:keepNext/>
      <w:ind w:leftChars="300" w:left="720"/>
      <w:outlineLvl w:val="1"/>
    </w:pPr>
    <w:rPr>
      <w:b/>
    </w:rPr>
  </w:style>
  <w:style w:type="paragraph" w:styleId="Heading3">
    <w:name w:val="heading 3"/>
    <w:basedOn w:val="Normal"/>
    <w:next w:val="Normal"/>
    <w:qFormat/>
    <w:rsid w:val="00152A0E"/>
    <w:pPr>
      <w:keepNext/>
      <w:outlineLvl w:val="2"/>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E498B"/>
    <w:pPr>
      <w:spacing w:before="100" w:beforeAutospacing="1" w:after="100" w:afterAutospacing="1"/>
    </w:pPr>
  </w:style>
  <w:style w:type="table" w:styleId="TableGrid">
    <w:name w:val="Table Grid"/>
    <w:basedOn w:val="TableNormal"/>
    <w:rsid w:val="001E498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5D50D8"/>
    <w:pPr>
      <w:ind w:left="3600" w:right="-720"/>
    </w:pPr>
    <w:rPr>
      <w:rFonts w:ascii="EngraversGothic BT" w:hAnsi="EngraversGothic BT"/>
      <w:sz w:val="28"/>
      <w:szCs w:val="20"/>
    </w:rPr>
  </w:style>
  <w:style w:type="paragraph" w:styleId="Header">
    <w:name w:val="header"/>
    <w:basedOn w:val="Normal"/>
    <w:rsid w:val="00DC3F20"/>
    <w:pPr>
      <w:tabs>
        <w:tab w:val="center" w:pos="4320"/>
        <w:tab w:val="right" w:pos="8640"/>
      </w:tabs>
    </w:pPr>
  </w:style>
  <w:style w:type="paragraph" w:styleId="Footer">
    <w:name w:val="footer"/>
    <w:basedOn w:val="Normal"/>
    <w:rsid w:val="00DC3F20"/>
    <w:pPr>
      <w:tabs>
        <w:tab w:val="center" w:pos="4320"/>
        <w:tab w:val="right" w:pos="8640"/>
      </w:tabs>
    </w:pPr>
  </w:style>
  <w:style w:type="paragraph" w:styleId="BodyText">
    <w:name w:val="Body Text"/>
    <w:basedOn w:val="Normal"/>
    <w:rsid w:val="00152A0E"/>
    <w:rPr>
      <w:sz w:val="28"/>
    </w:rPr>
  </w:style>
  <w:style w:type="paragraph" w:styleId="BodyTextIndent">
    <w:name w:val="Body Text Indent"/>
    <w:basedOn w:val="Normal"/>
    <w:rsid w:val="008028AC"/>
    <w:pPr>
      <w:ind w:leftChars="300" w:left="720"/>
    </w:pPr>
  </w:style>
  <w:style w:type="paragraph" w:styleId="BodyTextIndent2">
    <w:name w:val="Body Text Indent 2"/>
    <w:basedOn w:val="Normal"/>
    <w:rsid w:val="00747D5E"/>
    <w:pPr>
      <w:ind w:leftChars="300" w:left="1440" w:hanging="720"/>
    </w:pPr>
  </w:style>
  <w:style w:type="paragraph" w:styleId="BalloonText">
    <w:name w:val="Balloon Text"/>
    <w:basedOn w:val="Normal"/>
    <w:semiHidden/>
    <w:rsid w:val="00077CFF"/>
    <w:rPr>
      <w:rFonts w:ascii="Tahoma" w:hAnsi="Tahoma" w:cs="Tahoma"/>
      <w:sz w:val="16"/>
      <w:szCs w:val="16"/>
    </w:rPr>
  </w:style>
  <w:style w:type="character" w:styleId="CommentReference">
    <w:name w:val="annotation reference"/>
    <w:uiPriority w:val="99"/>
    <w:rsid w:val="000643E9"/>
    <w:rPr>
      <w:sz w:val="16"/>
      <w:szCs w:val="16"/>
    </w:rPr>
  </w:style>
  <w:style w:type="paragraph" w:styleId="CommentText">
    <w:name w:val="annotation text"/>
    <w:basedOn w:val="Normal"/>
    <w:link w:val="CommentTextChar"/>
    <w:rsid w:val="000643E9"/>
    <w:rPr>
      <w:rFonts w:ascii="Times New Roman" w:hAnsi="Times New Roman"/>
      <w:sz w:val="20"/>
      <w:szCs w:val="20"/>
    </w:rPr>
  </w:style>
  <w:style w:type="character" w:customStyle="1" w:styleId="CommentTextChar">
    <w:name w:val="Comment Text Char"/>
    <w:basedOn w:val="DefaultParagraphFont"/>
    <w:link w:val="CommentText"/>
    <w:rsid w:val="000643E9"/>
  </w:style>
  <w:style w:type="paragraph" w:styleId="CommentSubject">
    <w:name w:val="annotation subject"/>
    <w:basedOn w:val="CommentText"/>
    <w:next w:val="CommentText"/>
    <w:link w:val="CommentSubjectChar"/>
    <w:rsid w:val="00231AEE"/>
    <w:rPr>
      <w:rFonts w:ascii="Arial Narrow" w:hAnsi="Arial Narrow"/>
      <w:b/>
      <w:bCs/>
    </w:rPr>
  </w:style>
  <w:style w:type="character" w:customStyle="1" w:styleId="CommentSubjectChar">
    <w:name w:val="Comment Subject Char"/>
    <w:link w:val="CommentSubject"/>
    <w:rsid w:val="00231AEE"/>
    <w:rPr>
      <w:rFonts w:ascii="Arial Narrow" w:hAnsi="Arial Narrow"/>
      <w:b/>
      <w:bCs/>
    </w:rPr>
  </w:style>
  <w:style w:type="paragraph" w:customStyle="1" w:styleId="Default">
    <w:name w:val="Default"/>
    <w:rsid w:val="00A814F2"/>
    <w:pPr>
      <w:autoSpaceDE w:val="0"/>
      <w:autoSpaceDN w:val="0"/>
      <w:adjustRightInd w:val="0"/>
    </w:pPr>
    <w:rPr>
      <w:rFonts w:ascii="Calibri" w:hAnsi="Calibri" w:cs="Calibri"/>
      <w:color w:val="000000"/>
      <w:sz w:val="24"/>
      <w:szCs w:val="24"/>
    </w:rPr>
  </w:style>
  <w:style w:type="character" w:styleId="Strong">
    <w:name w:val="Strong"/>
    <w:uiPriority w:val="22"/>
    <w:qFormat/>
    <w:rsid w:val="002F62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E49FC58E5ED14889A56BB30A686BE3" ma:contentTypeVersion="9" ma:contentTypeDescription="Create a new document." ma:contentTypeScope="" ma:versionID="b6d85ecb229af0890403992a2ebac93b">
  <xsd:schema xmlns:xsd="http://www.w3.org/2001/XMLSchema" xmlns:xs="http://www.w3.org/2001/XMLSchema" xmlns:p="http://schemas.microsoft.com/office/2006/metadata/properties" xmlns:ns3="bd711daa-e80d-4509-9a1d-1eb70b658304" targetNamespace="http://schemas.microsoft.com/office/2006/metadata/properties" ma:root="true" ma:fieldsID="d6964fce7e991eb1eed8ed3cd6ab705e" ns3:_="">
    <xsd:import namespace="bd711daa-e80d-4509-9a1d-1eb70b6583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11daa-e80d-4509-9a1d-1eb70b6583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FC6F8E-5733-49AF-AFDA-70FE296C07B7}">
  <ds:schemaRefs>
    <ds:schemaRef ds:uri="http://schemas.microsoft.com/office/2006/metadata/contentType"/>
    <ds:schemaRef ds:uri="http://schemas.microsoft.com/office/2006/metadata/properties/metaAttributes"/>
    <ds:schemaRef ds:uri="http://www.w3.org/2000/xmlns/"/>
    <ds:schemaRef ds:uri="http://www.w3.org/2001/XMLSchema"/>
    <ds:schemaRef ds:uri="bd711daa-e80d-4509-9a1d-1eb70b65830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323708-CB21-4213-844E-E5003E6EBD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1876</Words>
  <Characters>11021</Characters>
  <Application>Microsoft Office Word</Application>
  <DocSecurity>8</DocSecurity>
  <PresentationFormat>11|.DOC</PresentationFormat>
  <Lines>239</Lines>
  <Paragraphs>78</Paragraphs>
  <ScaleCrop>false</ScaleCrop>
  <HeadingPairs>
    <vt:vector size="2" baseType="variant">
      <vt:variant>
        <vt:lpstr>Title</vt:lpstr>
      </vt:variant>
      <vt:variant>
        <vt:i4>1</vt:i4>
      </vt:variant>
    </vt:vector>
  </HeadingPairs>
  <TitlesOfParts>
    <vt:vector size="1" baseType="lpstr">
      <vt:lpstr> </vt:lpstr>
    </vt:vector>
  </TitlesOfParts>
  <Company>Wayne State University-HIC</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00075916 1 /font=8</dc:subject>
  <dc:creator>lindaa</dc:creator>
  <cp:keywords/>
  <cp:lastModifiedBy>Heather Park-May</cp:lastModifiedBy>
  <cp:revision>4</cp:revision>
  <cp:lastPrinted>2018-12-21T19:37:00Z</cp:lastPrinted>
  <dcterms:created xsi:type="dcterms:W3CDTF">2020-03-30T17:27:00Z</dcterms:created>
  <dcterms:modified xsi:type="dcterms:W3CDTF">2020-04-30T15:56:00Z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0x0101008FE49FC58E5ED14889A56BB30A686BE3</vt:lpwstr>
  </property>
</Properties>
</file>