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30D" w14:textId="77777777" w:rsidR="00777E8B" w:rsidRPr="00242C38" w:rsidRDefault="0058589C" w:rsidP="00242C38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0242C38">
        <w:rPr>
          <w:rFonts w:ascii="Arial" w:hAnsi="Arial" w:cs="Arial"/>
          <w:b/>
          <w:bCs/>
          <w:sz w:val="28"/>
          <w:szCs w:val="28"/>
        </w:rPr>
        <w:t>RESEARCH CLINICS: CHOOSING THE RIGHT DISINFECTANT</w:t>
      </w:r>
    </w:p>
    <w:p w14:paraId="2A184B33" w14:textId="6EF728F9" w:rsidR="00777E8B" w:rsidRPr="009E5375" w:rsidRDefault="0058589C" w:rsidP="00C6274E">
      <w:pPr>
        <w:pStyle w:val="Heading1"/>
        <w:shd w:val="clear" w:color="auto" w:fill="D9D9D9" w:themeFill="background1" w:themeFillShade="D9"/>
        <w:ind w:left="140"/>
        <w:rPr>
          <w:rFonts w:ascii="Arial" w:hAnsi="Arial" w:cs="Arial"/>
          <w:b/>
          <w:bCs/>
        </w:rPr>
      </w:pPr>
      <w:r w:rsidRPr="009E5375">
        <w:rPr>
          <w:rFonts w:ascii="Arial" w:hAnsi="Arial" w:cs="Arial"/>
          <w:b/>
          <w:bCs/>
        </w:rPr>
        <w:t>INTRODUCTION:</w:t>
      </w:r>
    </w:p>
    <w:p w14:paraId="0109B893" w14:textId="0EB33409" w:rsidR="00777E8B" w:rsidRDefault="0058589C">
      <w:pPr>
        <w:pStyle w:val="BodyText"/>
        <w:spacing w:before="123"/>
        <w:ind w:left="140" w:right="136"/>
        <w:jc w:val="both"/>
      </w:pPr>
      <w:r>
        <w:t xml:space="preserve">Choosing the right disinfectant for a location or specific situation depends upon many factors, </w:t>
      </w:r>
      <w:r w:rsidR="00C6274E">
        <w:t>including</w:t>
      </w:r>
      <w:r>
        <w:t xml:space="preserve"> microorganism being targeted, degree of contamination, organic matter load, contact time required, stability of the disinfectant (</w:t>
      </w:r>
      <w:r w:rsidR="00C6274E">
        <w:t>i.e.,</w:t>
      </w:r>
      <w:r>
        <w:t xml:space="preserve"> shelf- life), toxicity of the chemical present in the disinfectant, type of material being treated, and cost.</w:t>
      </w:r>
    </w:p>
    <w:p w14:paraId="6CFA9918" w14:textId="77777777" w:rsidR="00777E8B" w:rsidRDefault="0058589C">
      <w:pPr>
        <w:pStyle w:val="BodyText"/>
        <w:spacing w:before="121"/>
        <w:ind w:left="139" w:right="140"/>
        <w:jc w:val="both"/>
      </w:pPr>
      <w:r>
        <w:t xml:space="preserve">Failure to select an appropriate disinfectant or improper use of a disinfectant can </w:t>
      </w:r>
      <w:proofErr w:type="gramStart"/>
      <w:r>
        <w:t>lead</w:t>
      </w:r>
      <w:proofErr w:type="gramEnd"/>
      <w:r>
        <w:t xml:space="preserve"> to failure to remove all contamination, which can lead to exposure. Alternatively, damage to equipment may occur due to the properties of the chemicals present in the disinfectant applied.</w:t>
      </w:r>
    </w:p>
    <w:p w14:paraId="68C06EC7" w14:textId="09B47628" w:rsidR="00777E8B" w:rsidRPr="00C6274E" w:rsidRDefault="00EA6018" w:rsidP="00C6274E">
      <w:pPr>
        <w:pStyle w:val="Heading1"/>
        <w:shd w:val="clear" w:color="auto" w:fill="D9D9D9" w:themeFill="background1" w:themeFillShade="D9"/>
        <w:ind w:left="139"/>
        <w:rPr>
          <w:rFonts w:ascii="Arial" w:hAnsi="Arial" w:cs="Arial"/>
          <w:b/>
          <w:bCs/>
        </w:rPr>
      </w:pPr>
      <w:r w:rsidRPr="00C6274E">
        <w:rPr>
          <w:rFonts w:ascii="Arial" w:hAnsi="Arial" w:cs="Arial"/>
          <w:b/>
          <w:bCs/>
        </w:rPr>
        <w:t>BEST PRACTICES</w:t>
      </w:r>
      <w:r w:rsidRPr="00C6274E">
        <w:rPr>
          <w:rFonts w:ascii="Arial" w:hAnsi="Arial" w:cs="Arial"/>
          <w:b/>
          <w:bCs/>
          <w:vertAlign w:val="superscript"/>
        </w:rPr>
        <w:t>1</w:t>
      </w:r>
      <w:r w:rsidRPr="00C6274E">
        <w:rPr>
          <w:rFonts w:ascii="Arial" w:hAnsi="Arial" w:cs="Arial"/>
          <w:b/>
          <w:bCs/>
        </w:rPr>
        <w:t>:</w:t>
      </w:r>
    </w:p>
    <w:p w14:paraId="3966B012" w14:textId="2E25351A" w:rsidR="00777E8B" w:rsidRDefault="0058589C">
      <w:pPr>
        <w:pStyle w:val="ListParagraph"/>
        <w:numPr>
          <w:ilvl w:val="0"/>
          <w:numId w:val="2"/>
        </w:numPr>
        <w:tabs>
          <w:tab w:val="left" w:pos="592"/>
        </w:tabs>
        <w:spacing w:before="115"/>
        <w:jc w:val="both"/>
        <w:rPr>
          <w:sz w:val="20"/>
        </w:rPr>
      </w:pPr>
      <w:r>
        <w:rPr>
          <w:b/>
          <w:sz w:val="20"/>
        </w:rPr>
        <w:t xml:space="preserve">Evaluate your biological material:  </w:t>
      </w:r>
      <w:r>
        <w:rPr>
          <w:sz w:val="20"/>
        </w:rPr>
        <w:t>Specific target: Lipid enveloped virus? Vegetative bacteria? Spore? Intracellular? Broad spectrum: Targets all three major classes of organisms, bacteria, fungi, and virus</w:t>
      </w:r>
      <w:r w:rsidR="00C6274E">
        <w:rPr>
          <w:sz w:val="20"/>
        </w:rPr>
        <w:t>.</w:t>
      </w:r>
    </w:p>
    <w:p w14:paraId="337D6BF8" w14:textId="27F9FA6D" w:rsidR="00777E8B" w:rsidRDefault="0058589C">
      <w:pPr>
        <w:pStyle w:val="ListParagraph"/>
        <w:numPr>
          <w:ilvl w:val="0"/>
          <w:numId w:val="2"/>
        </w:numPr>
        <w:tabs>
          <w:tab w:val="left" w:pos="591"/>
        </w:tabs>
        <w:spacing w:before="120" w:line="242" w:lineRule="auto"/>
        <w:ind w:left="590" w:right="42"/>
        <w:jc w:val="both"/>
        <w:rPr>
          <w:sz w:val="20"/>
        </w:rPr>
      </w:pPr>
      <w:r>
        <w:rPr>
          <w:b/>
          <w:sz w:val="20"/>
        </w:rPr>
        <w:t xml:space="preserve">Evaluate the organic content: </w:t>
      </w:r>
      <w:r>
        <w:rPr>
          <w:sz w:val="20"/>
        </w:rPr>
        <w:t>Organic load can impact the effectiveness of a disinfectant or how it should be applied to be</w:t>
      </w:r>
      <w:r>
        <w:rPr>
          <w:spacing w:val="-2"/>
          <w:sz w:val="20"/>
        </w:rPr>
        <w:t xml:space="preserve"> </w:t>
      </w:r>
      <w:r>
        <w:rPr>
          <w:sz w:val="20"/>
        </w:rPr>
        <w:t>effective</w:t>
      </w:r>
      <w:r w:rsidR="00C6274E">
        <w:rPr>
          <w:sz w:val="20"/>
        </w:rPr>
        <w:t>.</w:t>
      </w:r>
    </w:p>
    <w:p w14:paraId="6DA3E33B" w14:textId="77777777" w:rsidR="00777E8B" w:rsidRDefault="0058589C">
      <w:pPr>
        <w:pStyle w:val="ListParagraph"/>
        <w:numPr>
          <w:ilvl w:val="0"/>
          <w:numId w:val="2"/>
        </w:numPr>
        <w:tabs>
          <w:tab w:val="left" w:pos="592"/>
        </w:tabs>
        <w:spacing w:before="114"/>
        <w:ind w:right="38"/>
        <w:jc w:val="both"/>
        <w:rPr>
          <w:sz w:val="20"/>
        </w:rPr>
      </w:pPr>
      <w:r>
        <w:rPr>
          <w:b/>
          <w:sz w:val="20"/>
        </w:rPr>
        <w:t xml:space="preserve">Evaluate your equipment: </w:t>
      </w:r>
      <w:r>
        <w:rPr>
          <w:sz w:val="20"/>
        </w:rPr>
        <w:t>Is the equipment sensitive to chemical exposure? Can it be immersed?</w:t>
      </w:r>
    </w:p>
    <w:p w14:paraId="43513BFB" w14:textId="6472DFEA" w:rsidR="00777E8B" w:rsidRDefault="0058589C">
      <w:pPr>
        <w:pStyle w:val="ListParagraph"/>
        <w:numPr>
          <w:ilvl w:val="0"/>
          <w:numId w:val="2"/>
        </w:numPr>
        <w:tabs>
          <w:tab w:val="left" w:pos="592"/>
        </w:tabs>
        <w:spacing w:before="119" w:line="242" w:lineRule="auto"/>
        <w:ind w:right="40"/>
        <w:jc w:val="both"/>
        <w:rPr>
          <w:sz w:val="20"/>
        </w:rPr>
      </w:pPr>
      <w:r>
        <w:rPr>
          <w:b/>
          <w:sz w:val="20"/>
        </w:rPr>
        <w:t xml:space="preserve">Contact time matters: </w:t>
      </w:r>
      <w:r>
        <w:rPr>
          <w:sz w:val="20"/>
        </w:rPr>
        <w:t>Follow the instructions for the specific disinfectant selected and apply for the correct</w:t>
      </w:r>
      <w:r>
        <w:rPr>
          <w:spacing w:val="-2"/>
          <w:sz w:val="20"/>
        </w:rPr>
        <w:t xml:space="preserve"> </w:t>
      </w:r>
      <w:r>
        <w:rPr>
          <w:sz w:val="20"/>
        </w:rPr>
        <w:t>duration</w:t>
      </w:r>
      <w:r w:rsidR="00C6274E">
        <w:rPr>
          <w:sz w:val="20"/>
        </w:rPr>
        <w:t>.</w:t>
      </w:r>
    </w:p>
    <w:p w14:paraId="1E76D53E" w14:textId="408AAB80" w:rsidR="00777E8B" w:rsidRDefault="0058589C">
      <w:pPr>
        <w:pStyle w:val="ListParagraph"/>
        <w:numPr>
          <w:ilvl w:val="0"/>
          <w:numId w:val="2"/>
        </w:numPr>
        <w:tabs>
          <w:tab w:val="left" w:pos="592"/>
        </w:tabs>
        <w:spacing w:before="115"/>
        <w:jc w:val="both"/>
        <w:rPr>
          <w:sz w:val="20"/>
        </w:rPr>
      </w:pPr>
      <w:r>
        <w:rPr>
          <w:b/>
          <w:sz w:val="20"/>
        </w:rPr>
        <w:t xml:space="preserve">What Personal Protective Equipment (PPE) is required? </w:t>
      </w:r>
      <w:r>
        <w:rPr>
          <w:sz w:val="20"/>
        </w:rPr>
        <w:t>Ensure you evaluate what PPE is required, for both the biological material and the chemical nature of the</w:t>
      </w:r>
      <w:r>
        <w:rPr>
          <w:spacing w:val="-3"/>
          <w:sz w:val="20"/>
        </w:rPr>
        <w:t xml:space="preserve"> </w:t>
      </w:r>
      <w:r>
        <w:rPr>
          <w:sz w:val="20"/>
        </w:rPr>
        <w:t>disinfectant</w:t>
      </w:r>
      <w:r w:rsidR="00C6274E">
        <w:rPr>
          <w:sz w:val="20"/>
        </w:rPr>
        <w:t>.</w:t>
      </w:r>
    </w:p>
    <w:p w14:paraId="4FDF62D2" w14:textId="77777777" w:rsidR="00777E8B" w:rsidRDefault="0058589C">
      <w:pPr>
        <w:pStyle w:val="ListParagraph"/>
        <w:numPr>
          <w:ilvl w:val="0"/>
          <w:numId w:val="2"/>
        </w:numPr>
        <w:tabs>
          <w:tab w:val="left" w:pos="592"/>
        </w:tabs>
        <w:spacing w:before="119" w:line="242" w:lineRule="auto"/>
        <w:ind w:right="40"/>
        <w:jc w:val="both"/>
        <w:rPr>
          <w:sz w:val="20"/>
        </w:rPr>
      </w:pPr>
      <w:r>
        <w:rPr>
          <w:b/>
          <w:sz w:val="20"/>
        </w:rPr>
        <w:t xml:space="preserve">Consider any potential chemical reactions: </w:t>
      </w:r>
      <w:r>
        <w:rPr>
          <w:sz w:val="20"/>
        </w:rPr>
        <w:t>What else is potentially present on the surfaces to be cleaned? How will it react with the</w:t>
      </w:r>
      <w:r>
        <w:rPr>
          <w:spacing w:val="-21"/>
          <w:sz w:val="20"/>
        </w:rPr>
        <w:t xml:space="preserve"> </w:t>
      </w:r>
      <w:r>
        <w:rPr>
          <w:sz w:val="20"/>
        </w:rPr>
        <w:t>disinfectant?</w:t>
      </w:r>
    </w:p>
    <w:p w14:paraId="4E603C4C" w14:textId="027BF1BD" w:rsidR="00777E8B" w:rsidRPr="00C6274E" w:rsidRDefault="00EA6018" w:rsidP="00C6274E">
      <w:pPr>
        <w:pStyle w:val="Heading1"/>
        <w:shd w:val="clear" w:color="auto" w:fill="D9D9D9" w:themeFill="background1" w:themeFillShade="D9"/>
        <w:ind w:left="139"/>
        <w:rPr>
          <w:rFonts w:ascii="Arial" w:hAnsi="Arial" w:cs="Arial"/>
          <w:b/>
          <w:bCs/>
        </w:rPr>
      </w:pPr>
      <w:r w:rsidRPr="00C6274E">
        <w:rPr>
          <w:rFonts w:ascii="Arial" w:hAnsi="Arial" w:cs="Arial"/>
          <w:b/>
          <w:bCs/>
        </w:rPr>
        <w:t>ENVIRONMENTAL PROTECTION AGENCY (EPA) REGISTERED DISINFECTANTS</w:t>
      </w:r>
    </w:p>
    <w:p w14:paraId="5CF610F1" w14:textId="2923AEBE" w:rsidR="00777E8B" w:rsidRDefault="0058589C">
      <w:pPr>
        <w:pStyle w:val="BodyText"/>
        <w:spacing w:before="101" w:line="276" w:lineRule="auto"/>
        <w:ind w:left="139" w:right="40"/>
        <w:jc w:val="both"/>
      </w:pPr>
      <w:r>
        <w:t>The EPA</w:t>
      </w:r>
      <w:r>
        <w:rPr>
          <w:vertAlign w:val="superscript"/>
        </w:rPr>
        <w:t>2</w:t>
      </w:r>
      <w:r>
        <w:t xml:space="preserve"> provides lists of antimicrobial products that have been proven to be effective against common pathogens. Use of listed EPA-registered products consistent with the product labeling complies with OSHA requirements for Occupational Exposure to Blood Borne Pathogens</w:t>
      </w:r>
      <w:r>
        <w:rPr>
          <w:vertAlign w:val="superscript"/>
        </w:rPr>
        <w:t>3</w:t>
      </w:r>
      <w:r>
        <w:t>. Users must read the label to locate the EPA registration number and ensure product is approved for the intended biological</w:t>
      </w:r>
      <w:r>
        <w:rPr>
          <w:spacing w:val="-4"/>
        </w:rPr>
        <w:t xml:space="preserve"> </w:t>
      </w:r>
      <w:r>
        <w:t>agent.</w:t>
      </w:r>
    </w:p>
    <w:p w14:paraId="1B7FA97D" w14:textId="3E57F4A8" w:rsidR="00EA6018" w:rsidRPr="00C6274E" w:rsidRDefault="00EA6018" w:rsidP="00C6274E">
      <w:pPr>
        <w:pStyle w:val="Heading1"/>
        <w:shd w:val="clear" w:color="auto" w:fill="D9D9D9" w:themeFill="background1" w:themeFillShade="D9"/>
        <w:ind w:left="140"/>
        <w:rPr>
          <w:rFonts w:ascii="Arial" w:hAnsi="Arial" w:cs="Arial"/>
          <w:b/>
          <w:bCs/>
        </w:rPr>
      </w:pPr>
      <w:r w:rsidRPr="00C6274E">
        <w:rPr>
          <w:rFonts w:ascii="Arial" w:hAnsi="Arial" w:cs="Arial"/>
          <w:b/>
          <w:bCs/>
        </w:rPr>
        <w:t>CLINIC DISINFECTANTS – ENVIRONMENTAL SURFACES</w:t>
      </w:r>
      <w:r w:rsidRPr="00C6274E">
        <w:rPr>
          <w:rFonts w:ascii="Arial" w:hAnsi="Arial" w:cs="Arial"/>
          <w:b/>
          <w:bCs/>
          <w:vertAlign w:val="superscript"/>
        </w:rPr>
        <w:t>4</w:t>
      </w:r>
      <w:r w:rsidRPr="00C6274E">
        <w:rPr>
          <w:rFonts w:ascii="Arial" w:hAnsi="Arial" w:cs="Arial"/>
          <w:b/>
          <w:bCs/>
        </w:rPr>
        <w:t>:</w:t>
      </w:r>
    </w:p>
    <w:p w14:paraId="49B36B7C" w14:textId="112F9F76" w:rsidR="00777E8B" w:rsidRDefault="0058589C" w:rsidP="00EA6018">
      <w:pPr>
        <w:pStyle w:val="BodyText"/>
        <w:spacing w:before="101"/>
        <w:ind w:left="140" w:right="41"/>
        <w:jc w:val="both"/>
      </w:pPr>
      <w:r>
        <w:t>The Center for Disease Control and Prevention (CDC) provides extensive recommendations regarding</w:t>
      </w:r>
      <w:r w:rsidR="00EA6018">
        <w:t xml:space="preserve"> </w:t>
      </w:r>
      <w:r>
        <w:t>disinfection and sterilization. Disinfectant selection should be based as</w:t>
      </w:r>
      <w:r>
        <w:rPr>
          <w:spacing w:val="-2"/>
        </w:rPr>
        <w:t xml:space="preserve"> </w:t>
      </w:r>
      <w:r>
        <w:t>follows:</w:t>
      </w:r>
    </w:p>
    <w:p w14:paraId="032F4B1E" w14:textId="77777777" w:rsidR="00777E8B" w:rsidRDefault="0058589C" w:rsidP="00242C38">
      <w:pPr>
        <w:pStyle w:val="ListParagraph"/>
        <w:numPr>
          <w:ilvl w:val="0"/>
          <w:numId w:val="3"/>
        </w:numPr>
        <w:tabs>
          <w:tab w:val="left" w:pos="889"/>
        </w:tabs>
        <w:spacing w:before="123" w:line="237" w:lineRule="auto"/>
        <w:ind w:right="140"/>
        <w:rPr>
          <w:sz w:val="20"/>
        </w:rPr>
      </w:pPr>
      <w:r>
        <w:rPr>
          <w:sz w:val="20"/>
        </w:rPr>
        <w:t>An EPA-registered hospital disinfectant should be used for housekeeping purposes in patient care</w:t>
      </w:r>
      <w:r>
        <w:rPr>
          <w:spacing w:val="-2"/>
          <w:sz w:val="20"/>
        </w:rPr>
        <w:t xml:space="preserve"> </w:t>
      </w:r>
      <w:r>
        <w:rPr>
          <w:sz w:val="20"/>
        </w:rPr>
        <w:t>areas.</w:t>
      </w:r>
    </w:p>
    <w:p w14:paraId="486173EC" w14:textId="77777777" w:rsidR="00777E8B" w:rsidRDefault="0058589C" w:rsidP="00242C38">
      <w:pPr>
        <w:pStyle w:val="ListParagraph"/>
        <w:numPr>
          <w:ilvl w:val="0"/>
          <w:numId w:val="3"/>
        </w:numPr>
        <w:tabs>
          <w:tab w:val="left" w:pos="889"/>
        </w:tabs>
        <w:spacing w:before="123"/>
        <w:ind w:right="136"/>
        <w:rPr>
          <w:sz w:val="20"/>
        </w:rPr>
      </w:pPr>
      <w:r>
        <w:rPr>
          <w:sz w:val="20"/>
        </w:rPr>
        <w:t>Spills of blood or other potentially infectious materials (OPIM) must be disinfected using an EPA-registered tuberculocidal agent, a registered EPA product with specific label claims for HIV or HBV, or freshly diluted hypochlorite solutions.</w:t>
      </w:r>
    </w:p>
    <w:p w14:paraId="5DA8FD27" w14:textId="6FFD3FA8" w:rsidR="00777E8B" w:rsidRDefault="0058589C" w:rsidP="00242C38">
      <w:pPr>
        <w:pStyle w:val="ListParagraph"/>
        <w:numPr>
          <w:ilvl w:val="0"/>
          <w:numId w:val="3"/>
        </w:numPr>
        <w:tabs>
          <w:tab w:val="left" w:pos="889"/>
        </w:tabs>
        <w:spacing w:before="120"/>
        <w:ind w:right="137"/>
        <w:rPr>
          <w:sz w:val="20"/>
        </w:rPr>
      </w:pPr>
      <w:r>
        <w:rPr>
          <w:sz w:val="20"/>
        </w:rPr>
        <w:t xml:space="preserve">If using sodium hypochlorite solutions; small spills (&lt;10 mL) of blood or OPIM can be treated with a 1:100 dilution, large spills (&gt;10 mL) should </w:t>
      </w:r>
      <w:r w:rsidR="00C6274E">
        <w:rPr>
          <w:sz w:val="20"/>
        </w:rPr>
        <w:t xml:space="preserve">be </w:t>
      </w:r>
      <w:r>
        <w:rPr>
          <w:sz w:val="20"/>
        </w:rPr>
        <w:t>treated with a 1:10 dilution. This can be followed with a terminal disinfection using a 1:100</w:t>
      </w:r>
      <w:r>
        <w:rPr>
          <w:spacing w:val="-2"/>
          <w:sz w:val="20"/>
        </w:rPr>
        <w:t xml:space="preserve"> </w:t>
      </w:r>
      <w:r>
        <w:rPr>
          <w:sz w:val="20"/>
        </w:rPr>
        <w:t>dilution.</w:t>
      </w:r>
    </w:p>
    <w:p w14:paraId="37049889" w14:textId="77777777" w:rsidR="00777E8B" w:rsidRDefault="0058589C" w:rsidP="00242C38">
      <w:pPr>
        <w:pStyle w:val="ListParagraph"/>
        <w:numPr>
          <w:ilvl w:val="0"/>
          <w:numId w:val="3"/>
        </w:numPr>
        <w:tabs>
          <w:tab w:val="left" w:pos="889"/>
        </w:tabs>
        <w:spacing w:before="117"/>
        <w:ind w:right="140"/>
        <w:rPr>
          <w:sz w:val="20"/>
        </w:rPr>
      </w:pPr>
      <w:r>
        <w:rPr>
          <w:sz w:val="20"/>
        </w:rPr>
        <w:t>An EPA-registered sodium hypochlorite product is preferred but generic, household bleach solutions (1:10 dilution) can be</w:t>
      </w:r>
      <w:r>
        <w:rPr>
          <w:spacing w:val="-3"/>
          <w:sz w:val="20"/>
        </w:rPr>
        <w:t xml:space="preserve"> </w:t>
      </w:r>
      <w:r>
        <w:rPr>
          <w:sz w:val="20"/>
        </w:rPr>
        <w:t>used.</w:t>
      </w:r>
    </w:p>
    <w:p w14:paraId="465C91AB" w14:textId="77777777" w:rsidR="00777E8B" w:rsidRDefault="0058589C" w:rsidP="00242C38">
      <w:pPr>
        <w:pStyle w:val="ListParagraph"/>
        <w:numPr>
          <w:ilvl w:val="0"/>
          <w:numId w:val="3"/>
        </w:numPr>
        <w:tabs>
          <w:tab w:val="left" w:pos="889"/>
        </w:tabs>
        <w:spacing w:before="120" w:line="237" w:lineRule="auto"/>
        <w:ind w:right="139"/>
        <w:rPr>
          <w:sz w:val="20"/>
        </w:rPr>
      </w:pPr>
      <w:r>
        <w:rPr>
          <w:sz w:val="20"/>
        </w:rPr>
        <w:t xml:space="preserve">Use of sodium hypochlorite solutions is recommended for </w:t>
      </w:r>
      <w:r>
        <w:rPr>
          <w:i/>
          <w:sz w:val="20"/>
        </w:rPr>
        <w:t>Clostridium difficile</w:t>
      </w:r>
      <w:r>
        <w:rPr>
          <w:i/>
          <w:spacing w:val="-10"/>
          <w:sz w:val="20"/>
        </w:rPr>
        <w:t xml:space="preserve"> </w:t>
      </w:r>
      <w:r>
        <w:rPr>
          <w:sz w:val="20"/>
        </w:rPr>
        <w:t>spores.</w:t>
      </w:r>
    </w:p>
    <w:p w14:paraId="684D150D" w14:textId="2C32EA69" w:rsidR="00777E8B" w:rsidRPr="00C6274E" w:rsidRDefault="009E5375" w:rsidP="00C6274E">
      <w:pPr>
        <w:pStyle w:val="Heading1"/>
        <w:shd w:val="clear" w:color="auto" w:fill="D9D9D9" w:themeFill="background1" w:themeFillShade="D9"/>
        <w:ind w:left="168"/>
        <w:rPr>
          <w:rFonts w:ascii="Arial" w:hAnsi="Arial" w:cs="Arial"/>
          <w:b/>
          <w:bCs/>
        </w:rPr>
      </w:pPr>
      <w:r w:rsidRPr="00C6274E">
        <w:rPr>
          <w:rFonts w:ascii="Arial" w:hAnsi="Arial" w:cs="Arial"/>
          <w:b/>
          <w:bCs/>
        </w:rPr>
        <w:t>CUSTODIAL OPERATIONS</w:t>
      </w:r>
    </w:p>
    <w:p w14:paraId="702D7BF2" w14:textId="77777777" w:rsidR="00777E8B" w:rsidRDefault="0058589C">
      <w:pPr>
        <w:pStyle w:val="BodyText"/>
        <w:spacing w:before="123"/>
        <w:ind w:left="168" w:right="137"/>
        <w:jc w:val="both"/>
      </w:pPr>
      <w:r>
        <w:t>Custodial Operations may be responsible for cleaning and disinfecting areas connected to patient care areas (</w:t>
      </w:r>
      <w:proofErr w:type="gramStart"/>
      <w:r>
        <w:t>e.g.</w:t>
      </w:r>
      <w:proofErr w:type="gramEnd"/>
      <w:r>
        <w:t xml:space="preserve"> restrooms, waiting rooms). Custodial Operations must be contacted to be made aware of any potential changes to disinfectant requirements, frequency of cleanings, or for specific requests in these areas.</w:t>
      </w:r>
    </w:p>
    <w:p w14:paraId="1BF8E628" w14:textId="77777777" w:rsidR="00777E8B" w:rsidRDefault="007C70B7">
      <w:pPr>
        <w:pStyle w:val="BodyText"/>
        <w:spacing w:before="120"/>
        <w:ind w:left="374"/>
      </w:pPr>
      <w:hyperlink r:id="rId7">
        <w:r w:rsidR="0058589C">
          <w:rPr>
            <w:color w:val="0000FF"/>
            <w:u w:val="single" w:color="0000FF"/>
          </w:rPr>
          <w:t xml:space="preserve">WSU Custodial Operations </w:t>
        </w:r>
      </w:hyperlink>
      <w:r w:rsidR="0058589C">
        <w:rPr>
          <w:color w:val="0000FF"/>
          <w:u w:val="single" w:color="0000FF"/>
        </w:rPr>
        <w:t>Director</w:t>
      </w:r>
      <w:r w:rsidR="0058589C">
        <w:t>: (313) 577-1831</w:t>
      </w:r>
    </w:p>
    <w:p w14:paraId="0B9AC617" w14:textId="17C4A849" w:rsidR="00777E8B" w:rsidRPr="00C6274E" w:rsidRDefault="009E5375" w:rsidP="00C6274E">
      <w:pPr>
        <w:pStyle w:val="Heading1"/>
        <w:shd w:val="clear" w:color="auto" w:fill="D9D9D9" w:themeFill="background1" w:themeFillShade="D9"/>
        <w:ind w:left="168"/>
        <w:rPr>
          <w:rFonts w:ascii="Arial" w:hAnsi="Arial" w:cs="Arial"/>
          <w:b/>
          <w:bCs/>
        </w:rPr>
      </w:pPr>
      <w:r w:rsidRPr="00C6274E">
        <w:rPr>
          <w:rFonts w:ascii="Arial" w:hAnsi="Arial" w:cs="Arial"/>
          <w:b/>
          <w:bCs/>
        </w:rPr>
        <w:t>REFERENCES:</w:t>
      </w:r>
    </w:p>
    <w:p w14:paraId="4BAE0BE3" w14:textId="77777777" w:rsidR="00777E8B" w:rsidRDefault="007C70B7">
      <w:pPr>
        <w:pStyle w:val="ListParagraph"/>
        <w:numPr>
          <w:ilvl w:val="0"/>
          <w:numId w:val="1"/>
        </w:numPr>
        <w:tabs>
          <w:tab w:val="left" w:pos="529"/>
        </w:tabs>
        <w:spacing w:before="118"/>
        <w:ind w:right="1108"/>
        <w:rPr>
          <w:sz w:val="20"/>
        </w:rPr>
      </w:pPr>
      <w:hyperlink r:id="rId8">
        <w:r w:rsidR="0058589C">
          <w:rPr>
            <w:color w:val="0000FF"/>
            <w:sz w:val="20"/>
            <w:u w:val="single" w:color="0000FF"/>
          </w:rPr>
          <w:t>Disinfectant Selection: Cornell University,</w:t>
        </w:r>
      </w:hyperlink>
      <w:hyperlink r:id="rId9">
        <w:r w:rsidR="0058589C">
          <w:rPr>
            <w:color w:val="0000FF"/>
            <w:sz w:val="20"/>
            <w:u w:val="single" w:color="0000FF"/>
          </w:rPr>
          <w:t xml:space="preserve"> Environmental Health and</w:t>
        </w:r>
        <w:r w:rsidR="0058589C">
          <w:rPr>
            <w:color w:val="0000FF"/>
            <w:spacing w:val="-4"/>
            <w:sz w:val="20"/>
            <w:u w:val="single" w:color="0000FF"/>
          </w:rPr>
          <w:t xml:space="preserve"> </w:t>
        </w:r>
        <w:r w:rsidR="0058589C">
          <w:rPr>
            <w:color w:val="0000FF"/>
            <w:sz w:val="20"/>
            <w:u w:val="single" w:color="0000FF"/>
          </w:rPr>
          <w:t>Safety</w:t>
        </w:r>
      </w:hyperlink>
    </w:p>
    <w:p w14:paraId="6F0AF1C2" w14:textId="77777777" w:rsidR="00777E8B" w:rsidRDefault="007C70B7">
      <w:pPr>
        <w:pStyle w:val="ListParagraph"/>
        <w:numPr>
          <w:ilvl w:val="0"/>
          <w:numId w:val="1"/>
        </w:numPr>
        <w:tabs>
          <w:tab w:val="left" w:pos="529"/>
        </w:tabs>
        <w:spacing w:line="229" w:lineRule="exact"/>
        <w:ind w:right="0" w:hanging="361"/>
        <w:rPr>
          <w:sz w:val="20"/>
        </w:rPr>
      </w:pPr>
      <w:hyperlink r:id="rId10">
        <w:r w:rsidR="0058589C">
          <w:rPr>
            <w:color w:val="0000FF"/>
            <w:sz w:val="20"/>
            <w:u w:val="single" w:color="0000FF"/>
          </w:rPr>
          <w:t>United States Environmental Protection</w:t>
        </w:r>
        <w:r w:rsidR="0058589C">
          <w:rPr>
            <w:color w:val="0000FF"/>
            <w:spacing w:val="-5"/>
            <w:sz w:val="20"/>
            <w:u w:val="single" w:color="0000FF"/>
          </w:rPr>
          <w:t xml:space="preserve"> </w:t>
        </w:r>
        <w:r w:rsidR="0058589C">
          <w:rPr>
            <w:color w:val="0000FF"/>
            <w:sz w:val="20"/>
            <w:u w:val="single" w:color="0000FF"/>
          </w:rPr>
          <w:t>Agency</w:t>
        </w:r>
      </w:hyperlink>
    </w:p>
    <w:p w14:paraId="11E987B4" w14:textId="77777777" w:rsidR="00777E8B" w:rsidRDefault="007C70B7">
      <w:pPr>
        <w:pStyle w:val="ListParagraph"/>
        <w:numPr>
          <w:ilvl w:val="0"/>
          <w:numId w:val="1"/>
        </w:numPr>
        <w:tabs>
          <w:tab w:val="left" w:pos="529"/>
        </w:tabs>
        <w:ind w:right="742"/>
        <w:rPr>
          <w:sz w:val="20"/>
        </w:rPr>
      </w:pPr>
      <w:hyperlink r:id="rId11">
        <w:r w:rsidR="0058589C">
          <w:rPr>
            <w:color w:val="0000FF"/>
            <w:sz w:val="20"/>
            <w:u w:val="single" w:color="0000FF"/>
          </w:rPr>
          <w:t>OSHA, Occupational Exposure to blood</w:t>
        </w:r>
        <w:r w:rsidR="0058589C">
          <w:rPr>
            <w:color w:val="0000FF"/>
            <w:spacing w:val="-17"/>
            <w:sz w:val="20"/>
            <w:u w:val="single" w:color="0000FF"/>
          </w:rPr>
          <w:t xml:space="preserve"> </w:t>
        </w:r>
        <w:r w:rsidR="0058589C">
          <w:rPr>
            <w:color w:val="0000FF"/>
            <w:sz w:val="20"/>
            <w:u w:val="single" w:color="0000FF"/>
          </w:rPr>
          <w:t>borne</w:t>
        </w:r>
      </w:hyperlink>
      <w:hyperlink r:id="rId12">
        <w:r w:rsidR="0058589C">
          <w:rPr>
            <w:color w:val="0000FF"/>
            <w:sz w:val="20"/>
            <w:u w:val="single" w:color="0000FF"/>
          </w:rPr>
          <w:t xml:space="preserve"> pathogens</w:t>
        </w:r>
      </w:hyperlink>
    </w:p>
    <w:p w14:paraId="47C97301" w14:textId="4B8F2997" w:rsidR="00777E8B" w:rsidRDefault="007C70B7" w:rsidP="00242C38">
      <w:pPr>
        <w:pStyle w:val="ListParagraph"/>
        <w:numPr>
          <w:ilvl w:val="0"/>
          <w:numId w:val="1"/>
        </w:numPr>
        <w:tabs>
          <w:tab w:val="left" w:pos="529"/>
        </w:tabs>
        <w:ind w:right="318"/>
      </w:pPr>
      <w:hyperlink r:id="rId13">
        <w:r w:rsidR="0058589C" w:rsidRPr="00242C38">
          <w:rPr>
            <w:color w:val="0000FF"/>
            <w:sz w:val="20"/>
            <w:u w:val="single" w:color="0000FF"/>
          </w:rPr>
          <w:t>CDC Guidelines for Disinfection and Sterilization</w:t>
        </w:r>
        <w:r w:rsidR="0058589C" w:rsidRPr="00242C38">
          <w:rPr>
            <w:color w:val="0000FF"/>
            <w:spacing w:val="-25"/>
            <w:sz w:val="20"/>
            <w:u w:val="single" w:color="0000FF"/>
          </w:rPr>
          <w:t xml:space="preserve"> </w:t>
        </w:r>
        <w:r w:rsidR="0058589C" w:rsidRPr="00242C38">
          <w:rPr>
            <w:color w:val="0000FF"/>
            <w:sz w:val="20"/>
            <w:u w:val="single" w:color="0000FF"/>
          </w:rPr>
          <w:t>in</w:t>
        </w:r>
      </w:hyperlink>
      <w:hyperlink r:id="rId14">
        <w:r w:rsidR="0058589C" w:rsidRPr="00242C38">
          <w:rPr>
            <w:color w:val="0000FF"/>
            <w:sz w:val="20"/>
            <w:u w:val="single" w:color="0000FF"/>
          </w:rPr>
          <w:t xml:space="preserve"> Healthcare Facilities,</w:t>
        </w:r>
        <w:r w:rsidR="0058589C" w:rsidRPr="00242C38">
          <w:rPr>
            <w:color w:val="0000FF"/>
            <w:spacing w:val="-3"/>
            <w:sz w:val="20"/>
            <w:u w:val="single" w:color="0000FF"/>
          </w:rPr>
          <w:t xml:space="preserve"> </w:t>
        </w:r>
        <w:r w:rsidR="0058589C" w:rsidRPr="00242C38">
          <w:rPr>
            <w:color w:val="0000FF"/>
            <w:sz w:val="20"/>
            <w:u w:val="single" w:color="0000FF"/>
          </w:rPr>
          <w:t>2008</w:t>
        </w:r>
      </w:hyperlink>
    </w:p>
    <w:sectPr w:rsidR="00777E8B" w:rsidSect="00242C38">
      <w:headerReference w:type="default" r:id="rId15"/>
      <w:footerReference w:type="default" r:id="rId16"/>
      <w:type w:val="continuous"/>
      <w:pgSz w:w="12240" w:h="15840"/>
      <w:pgMar w:top="680" w:right="580" w:bottom="280" w:left="58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FA2E" w14:textId="77777777" w:rsidR="00242C38" w:rsidRDefault="00242C38" w:rsidP="00242C38">
      <w:r>
        <w:separator/>
      </w:r>
    </w:p>
  </w:endnote>
  <w:endnote w:type="continuationSeparator" w:id="0">
    <w:p w14:paraId="2846631C" w14:textId="77777777" w:rsidR="00242C38" w:rsidRDefault="00242C38" w:rsidP="0024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847" w14:textId="53F12F62" w:rsidR="00242C38" w:rsidRPr="00242C38" w:rsidRDefault="00242C38" w:rsidP="00242C38">
    <w:pPr>
      <w:pStyle w:val="Footer"/>
      <w:rPr>
        <w:sz w:val="18"/>
        <w:szCs w:val="18"/>
      </w:rPr>
    </w:pPr>
    <w:r w:rsidRPr="00242C38">
      <w:rPr>
        <w:sz w:val="18"/>
        <w:szCs w:val="18"/>
      </w:rPr>
      <w:t>Office of Environmental Health &amp; Safety (OEHS)</w:t>
    </w:r>
    <w:r w:rsidRPr="00242C38">
      <w:rPr>
        <w:sz w:val="18"/>
        <w:szCs w:val="18"/>
      </w:rPr>
      <w:tab/>
      <w:t xml:space="preserve"> Revised </w:t>
    </w:r>
    <w:r>
      <w:rPr>
        <w:sz w:val="18"/>
        <w:szCs w:val="18"/>
      </w:rPr>
      <w:t>1/2019</w:t>
    </w:r>
    <w:r>
      <w:rPr>
        <w:sz w:val="18"/>
        <w:szCs w:val="18"/>
      </w:rPr>
      <w:tab/>
    </w:r>
    <w:proofErr w:type="spellStart"/>
    <w:r w:rsidRPr="00242C38">
      <w:rPr>
        <w:sz w:val="18"/>
        <w:szCs w:val="18"/>
      </w:rPr>
      <w:t>disinfectant_selection_clinics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7427" w14:textId="77777777" w:rsidR="00242C38" w:rsidRDefault="00242C38" w:rsidP="00242C38">
      <w:r>
        <w:separator/>
      </w:r>
    </w:p>
  </w:footnote>
  <w:footnote w:type="continuationSeparator" w:id="0">
    <w:p w14:paraId="0F5DCB65" w14:textId="77777777" w:rsidR="00242C38" w:rsidRDefault="00242C38" w:rsidP="0024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D9D0" w14:textId="66F8BDCE" w:rsidR="00242C38" w:rsidRPr="00242C38" w:rsidRDefault="00242C38" w:rsidP="00242C38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1A86A5FB" wp14:editId="3A9A4A34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4C1D7353" wp14:editId="68894C12">
          <wp:extent cx="604236" cy="457200"/>
          <wp:effectExtent l="0" t="0" r="0" b="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3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676"/>
    <w:multiLevelType w:val="hybridMultilevel"/>
    <w:tmpl w:val="D828EEF2"/>
    <w:lvl w:ilvl="0" w:tplc="430ED5EA">
      <w:start w:val="1"/>
      <w:numFmt w:val="decimal"/>
      <w:lvlText w:val="%1."/>
      <w:lvlJc w:val="left"/>
      <w:pPr>
        <w:ind w:left="59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EFDA1F34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6BC4D03E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3" w:tplc="5D888678">
      <w:numFmt w:val="bullet"/>
      <w:lvlText w:val="•"/>
      <w:lvlJc w:val="left"/>
      <w:pPr>
        <w:ind w:left="571" w:hanging="360"/>
      </w:pPr>
      <w:rPr>
        <w:rFonts w:hint="default"/>
        <w:lang w:val="en-US" w:eastAsia="en-US" w:bidi="en-US"/>
      </w:rPr>
    </w:lvl>
    <w:lvl w:ilvl="4" w:tplc="444449EC">
      <w:numFmt w:val="bullet"/>
      <w:lvlText w:val="•"/>
      <w:lvlJc w:val="left"/>
      <w:pPr>
        <w:ind w:left="416" w:hanging="360"/>
      </w:pPr>
      <w:rPr>
        <w:rFonts w:hint="default"/>
        <w:lang w:val="en-US" w:eastAsia="en-US" w:bidi="en-US"/>
      </w:rPr>
    </w:lvl>
    <w:lvl w:ilvl="5" w:tplc="57604F12">
      <w:numFmt w:val="bullet"/>
      <w:lvlText w:val="•"/>
      <w:lvlJc w:val="left"/>
      <w:pPr>
        <w:ind w:left="262" w:hanging="360"/>
      </w:pPr>
      <w:rPr>
        <w:rFonts w:hint="default"/>
        <w:lang w:val="en-US" w:eastAsia="en-US" w:bidi="en-US"/>
      </w:rPr>
    </w:lvl>
    <w:lvl w:ilvl="6" w:tplc="F4B0989E">
      <w:numFmt w:val="bullet"/>
      <w:lvlText w:val="•"/>
      <w:lvlJc w:val="left"/>
      <w:pPr>
        <w:ind w:left="107" w:hanging="360"/>
      </w:pPr>
      <w:rPr>
        <w:rFonts w:hint="default"/>
        <w:lang w:val="en-US" w:eastAsia="en-US" w:bidi="en-US"/>
      </w:rPr>
    </w:lvl>
    <w:lvl w:ilvl="7" w:tplc="6F2A1DC8">
      <w:numFmt w:val="bullet"/>
      <w:lvlText w:val="•"/>
      <w:lvlJc w:val="left"/>
      <w:pPr>
        <w:ind w:left="-47" w:hanging="360"/>
      </w:pPr>
      <w:rPr>
        <w:rFonts w:hint="default"/>
        <w:lang w:val="en-US" w:eastAsia="en-US" w:bidi="en-US"/>
      </w:rPr>
    </w:lvl>
    <w:lvl w:ilvl="8" w:tplc="CD08239E">
      <w:numFmt w:val="bullet"/>
      <w:lvlText w:val="•"/>
      <w:lvlJc w:val="left"/>
      <w:pPr>
        <w:ind w:left="-20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B5D7843"/>
    <w:multiLevelType w:val="hybridMultilevel"/>
    <w:tmpl w:val="D19AA114"/>
    <w:lvl w:ilvl="0" w:tplc="1B40EC84">
      <w:start w:val="1"/>
      <w:numFmt w:val="decimal"/>
      <w:lvlText w:val="%1."/>
      <w:lvlJc w:val="left"/>
      <w:pPr>
        <w:ind w:left="52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2BC32A4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en-US"/>
      </w:rPr>
    </w:lvl>
    <w:lvl w:ilvl="2" w:tplc="1E1C616E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3" w:tplc="133892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en-US"/>
      </w:rPr>
    </w:lvl>
    <w:lvl w:ilvl="4" w:tplc="1CDEEE6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5" w:tplc="C5A01D9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6" w:tplc="98CA0090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en-US"/>
      </w:rPr>
    </w:lvl>
    <w:lvl w:ilvl="7" w:tplc="F0D81750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en-US"/>
      </w:rPr>
    </w:lvl>
    <w:lvl w:ilvl="8" w:tplc="9DEE39F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5451F17"/>
    <w:multiLevelType w:val="hybridMultilevel"/>
    <w:tmpl w:val="0616DE86"/>
    <w:lvl w:ilvl="0" w:tplc="04090001">
      <w:start w:val="1"/>
      <w:numFmt w:val="bullet"/>
      <w:lvlText w:val=""/>
      <w:lvlJc w:val="left"/>
      <w:pPr>
        <w:ind w:left="591" w:hanging="360"/>
        <w:jc w:val="left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FFFFFFFF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FFFFFFF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571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107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-4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-201" w:hanging="360"/>
      </w:pPr>
      <w:rPr>
        <w:rFonts w:hint="default"/>
        <w:lang w:val="en-US" w:eastAsia="en-US" w:bidi="en-US"/>
      </w:rPr>
    </w:lvl>
  </w:abstractNum>
  <w:num w:numId="1" w16cid:durableId="284164294">
    <w:abstractNumId w:val="1"/>
  </w:num>
  <w:num w:numId="2" w16cid:durableId="1837844649">
    <w:abstractNumId w:val="0"/>
  </w:num>
  <w:num w:numId="3" w16cid:durableId="1783645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8B"/>
    <w:rsid w:val="00242C38"/>
    <w:rsid w:val="0058589C"/>
    <w:rsid w:val="00777E8B"/>
    <w:rsid w:val="007C70B7"/>
    <w:rsid w:val="009E5375"/>
    <w:rsid w:val="00C6274E"/>
    <w:rsid w:val="00DA2CFD"/>
    <w:rsid w:val="00E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6FE5F"/>
  <w15:docId w15:val="{0314B72A-3685-4FFC-8846-53E41BC5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28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1" w:right="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3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38"/>
    <w:rPr>
      <w:rFonts w:ascii="Arial" w:eastAsia="Arial" w:hAnsi="Arial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42C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C38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iel.cbe.cornell.edu/safety/GBP_Disinfectant_Selection.pdf" TargetMode="External"/><Relationship Id="rId13" Type="http://schemas.openxmlformats.org/officeDocument/2006/relationships/hyperlink" Target="https://www.cdc.gov/infectioncontrol/guidelines/disinfection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ilities.wayne.edu/operations/custodial" TargetMode="External"/><Relationship Id="rId12" Type="http://schemas.openxmlformats.org/officeDocument/2006/relationships/hyperlink" Target="https://www.osha.gov/laws-regs/regulations/standardnumber/1910/1910.103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laws-regs/regulations/standardnumber/1910/1910.103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pa.gov/pesticide-registration/selected-epa-registered-disinfect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iel.cbe.cornell.edu/safety/GBP_Disinfectant_Selection.pdf" TargetMode="External"/><Relationship Id="rId14" Type="http://schemas.openxmlformats.org/officeDocument/2006/relationships/hyperlink" Target="https://www.cdc.gov/infectioncontrol/guidelines/disinfection/index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</Words>
  <Characters>3794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Disinfectant_selection_clinics_12019</vt:lpstr>
    </vt:vector>
  </TitlesOfParts>
  <Company>Wayne State University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Disinfectant_selection_clinics_12019</dc:title>
  <dc:creator>Pearson, Richard John</dc:creator>
  <cp:lastModifiedBy>Linda Ritter</cp:lastModifiedBy>
  <cp:revision>7</cp:revision>
  <dcterms:created xsi:type="dcterms:W3CDTF">2023-10-26T15:24:00Z</dcterms:created>
  <dcterms:modified xsi:type="dcterms:W3CDTF">2023-10-26T15:42:00Z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2023-10-26T00:00:00Z</vt:filetime>
  </property>
</Properties>
</file>