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4C0B" w14:textId="3C76FD0E" w:rsidR="005F7F15" w:rsidRDefault="005F7F15" w:rsidP="005F7F15">
      <w:pPr>
        <w:pStyle w:val="Title"/>
        <w:spacing w:after="0"/>
        <w:rPr>
          <w:rFonts w:ascii="Arial" w:hAnsi="Arial" w:cs="Arial"/>
        </w:rPr>
      </w:pPr>
      <w:r w:rsidRPr="000C5206">
        <w:rPr>
          <w:rFonts w:ascii="Arial" w:hAnsi="Arial" w:cs="Arial"/>
        </w:rPr>
        <w:t xml:space="preserve">Safe </w:t>
      </w:r>
      <w:r>
        <w:rPr>
          <w:rFonts w:ascii="Arial" w:hAnsi="Arial" w:cs="Arial"/>
        </w:rPr>
        <w:t>T</w:t>
      </w:r>
      <w:r w:rsidRPr="000C5206">
        <w:rPr>
          <w:rFonts w:ascii="Arial" w:hAnsi="Arial" w:cs="Arial"/>
        </w:rPr>
        <w:t xml:space="preserve">ransfer of </w:t>
      </w:r>
      <w:r>
        <w:rPr>
          <w:rFonts w:ascii="Arial" w:hAnsi="Arial" w:cs="Arial"/>
        </w:rPr>
        <w:t>Fl</w:t>
      </w:r>
      <w:r w:rsidRPr="000C5206">
        <w:rPr>
          <w:rFonts w:ascii="Arial" w:hAnsi="Arial" w:cs="Arial"/>
        </w:rPr>
        <w:t xml:space="preserve">ammable </w:t>
      </w:r>
      <w:r>
        <w:rPr>
          <w:rFonts w:ascii="Arial" w:hAnsi="Arial" w:cs="Arial"/>
        </w:rPr>
        <w:t>L</w:t>
      </w:r>
      <w:r w:rsidR="0055736D">
        <w:rPr>
          <w:rFonts w:ascii="Arial" w:hAnsi="Arial" w:cs="Arial"/>
        </w:rPr>
        <w:t>iquids:</w:t>
      </w:r>
    </w:p>
    <w:p w14:paraId="50F24868" w14:textId="099D78A0" w:rsidR="005F7F15" w:rsidRPr="000C5206" w:rsidRDefault="005F7F15" w:rsidP="005F7F15">
      <w:pPr>
        <w:pStyle w:val="Title"/>
        <w:spacing w:after="0"/>
        <w:rPr>
          <w:rFonts w:ascii="Arial" w:hAnsi="Arial" w:cs="Arial"/>
        </w:rPr>
      </w:pPr>
      <w:r w:rsidRPr="000C5206">
        <w:rPr>
          <w:rFonts w:ascii="Arial" w:hAnsi="Arial" w:cs="Arial"/>
        </w:rPr>
        <w:t>Grounding and Bonding</w:t>
      </w:r>
    </w:p>
    <w:p w14:paraId="72F1086E" w14:textId="57D2F42A" w:rsidR="00ED5378" w:rsidRPr="00AC3A1F" w:rsidRDefault="00146EF8" w:rsidP="00A073EB">
      <w:pPr>
        <w:shd w:val="clear" w:color="auto" w:fill="D9D9D9" w:themeFill="background1" w:themeFillShade="D9"/>
        <w:spacing w:before="80" w:after="80" w:line="240" w:lineRule="auto"/>
        <w:jc w:val="both"/>
        <w:rPr>
          <w:rFonts w:ascii="Arial" w:hAnsi="Arial" w:cs="Arial"/>
          <w:b/>
          <w:szCs w:val="20"/>
        </w:rPr>
      </w:pPr>
      <w:r w:rsidRPr="00AC3A1F">
        <w:rPr>
          <w:rStyle w:val="BookTitle"/>
          <w:szCs w:val="20"/>
        </w:rPr>
        <w:t>Introduction</w:t>
      </w:r>
      <w:r w:rsidR="006D26EA">
        <w:rPr>
          <w:rFonts w:ascii="Arial" w:hAnsi="Arial" w:cs="Arial"/>
          <w:b/>
          <w:szCs w:val="20"/>
        </w:rPr>
        <w:t>:</w:t>
      </w:r>
    </w:p>
    <w:p w14:paraId="3E524365" w14:textId="304984D3" w:rsidR="005F7F15" w:rsidRPr="005F7F15" w:rsidRDefault="005F7F15" w:rsidP="005F7F15">
      <w:pPr>
        <w:pStyle w:val="BodyText2"/>
        <w:spacing w:before="120" w:after="0" w:line="240" w:lineRule="auto"/>
        <w:rPr>
          <w:rFonts w:cstheme="minorHAnsi"/>
          <w:sz w:val="22"/>
          <w:szCs w:val="22"/>
        </w:rPr>
      </w:pPr>
      <w:r w:rsidRPr="005F7F15">
        <w:rPr>
          <w:rFonts w:cstheme="minorHAnsi"/>
          <w:sz w:val="22"/>
          <w:szCs w:val="22"/>
        </w:rPr>
        <w:t>Transfer of flammable liquid from one container to another or splashing and turbulence of the liquid in the container, creates friction between the liquid and the container. This can cause a buildup of a static electricity (charge). If there are no means to drain the static electricity buildup, there is a risk that a sufficiently high electric potential difference (voltage) will develop to generate a spark, which may ignite the flammable vapors in the area causing a fire or explosion.</w:t>
      </w:r>
    </w:p>
    <w:p w14:paraId="42A49B5F" w14:textId="68165E0F" w:rsidR="005F7F15" w:rsidRPr="005F7F15" w:rsidRDefault="005F7F15" w:rsidP="005F7F15">
      <w:pPr>
        <w:pStyle w:val="BodyText2"/>
        <w:spacing w:before="120" w:after="0" w:line="240" w:lineRule="auto"/>
        <w:rPr>
          <w:rFonts w:cstheme="minorHAnsi"/>
          <w:sz w:val="22"/>
          <w:szCs w:val="22"/>
        </w:rPr>
      </w:pPr>
      <w:r w:rsidRPr="005F7F15">
        <w:rPr>
          <w:rFonts w:cstheme="minorHAnsi"/>
          <w:sz w:val="22"/>
          <w:szCs w:val="22"/>
        </w:rPr>
        <w:t xml:space="preserve">Grounding and bonding is an effective technique for minimizing this risk. This technique safely drains the static electricity built up during liquid transfer into the ground by creating an electrical pathway between a dispensing container, a receiving </w:t>
      </w:r>
      <w:r w:rsidR="002C0463" w:rsidRPr="005F7F15">
        <w:rPr>
          <w:rFonts w:cstheme="minorHAnsi"/>
          <w:sz w:val="22"/>
          <w:szCs w:val="22"/>
        </w:rPr>
        <w:t>container,</w:t>
      </w:r>
      <w:r w:rsidRPr="005F7F15">
        <w:rPr>
          <w:rFonts w:cstheme="minorHAnsi"/>
          <w:sz w:val="22"/>
          <w:szCs w:val="22"/>
        </w:rPr>
        <w:t xml:space="preserve"> and an earth ground.</w:t>
      </w:r>
    </w:p>
    <w:p w14:paraId="783DFB3A" w14:textId="77777777" w:rsidR="005F7F15" w:rsidRPr="005F7F15" w:rsidRDefault="005F7F15" w:rsidP="005F7F15">
      <w:pPr>
        <w:pStyle w:val="BodyText2"/>
        <w:spacing w:before="120" w:after="0" w:line="240" w:lineRule="auto"/>
        <w:rPr>
          <w:rFonts w:cstheme="minorHAnsi"/>
          <w:sz w:val="22"/>
          <w:szCs w:val="22"/>
        </w:rPr>
      </w:pPr>
      <w:r w:rsidRPr="005F7F15">
        <w:rPr>
          <w:rFonts w:cstheme="minorHAnsi"/>
          <w:b/>
          <w:sz w:val="22"/>
          <w:szCs w:val="22"/>
        </w:rPr>
        <w:t>Bonding</w:t>
      </w:r>
      <w:r w:rsidRPr="005F7F15">
        <w:rPr>
          <w:rFonts w:cstheme="minorHAnsi"/>
          <w:sz w:val="22"/>
          <w:szCs w:val="22"/>
        </w:rPr>
        <w:t xml:space="preserve"> is the process of connecting two or more conductive objects together by means of a conductor so that they are at the same electrical potential, but not necessarily at the same potential as the earth [NFPA 77 - 3.1.2].</w:t>
      </w:r>
    </w:p>
    <w:p w14:paraId="17A28CED" w14:textId="77777777" w:rsidR="005F7F15" w:rsidRPr="005F7F15" w:rsidRDefault="005F7F15" w:rsidP="005F7F15">
      <w:pPr>
        <w:pStyle w:val="BodyText2"/>
        <w:spacing w:before="120" w:after="0" w:line="240" w:lineRule="auto"/>
        <w:rPr>
          <w:rFonts w:cstheme="minorHAnsi"/>
          <w:sz w:val="22"/>
          <w:szCs w:val="22"/>
        </w:rPr>
      </w:pPr>
      <w:r w:rsidRPr="005F7F15">
        <w:rPr>
          <w:rFonts w:cstheme="minorHAnsi"/>
          <w:b/>
          <w:sz w:val="22"/>
          <w:szCs w:val="22"/>
        </w:rPr>
        <w:t>Grounding</w:t>
      </w:r>
      <w:r w:rsidRPr="005F7F15">
        <w:rPr>
          <w:rFonts w:cstheme="minorHAnsi"/>
          <w:sz w:val="22"/>
          <w:szCs w:val="22"/>
        </w:rPr>
        <w:t xml:space="preserve"> is the process of bonding 1 or more conductive objects to the ground, so that all objects are at zero (0) electrical potential; also referred to as "earthing" [NFPA 77 - 3.1.10]</w:t>
      </w:r>
    </w:p>
    <w:p w14:paraId="7D7586BA" w14:textId="58F8F9EA" w:rsidR="00ED5378" w:rsidRPr="00AC3A1F" w:rsidRDefault="005F7F15" w:rsidP="00A073EB">
      <w:pPr>
        <w:shd w:val="clear" w:color="auto" w:fill="D9D9D9" w:themeFill="background1" w:themeFillShade="D9"/>
        <w:spacing w:before="80" w:after="80" w:line="240" w:lineRule="auto"/>
        <w:jc w:val="both"/>
        <w:rPr>
          <w:rFonts w:ascii="Arial" w:hAnsi="Arial" w:cs="Arial"/>
          <w:b/>
          <w:szCs w:val="20"/>
        </w:rPr>
      </w:pPr>
      <w:r>
        <w:rPr>
          <w:rStyle w:val="BookTitle"/>
          <w:szCs w:val="20"/>
        </w:rPr>
        <w:t>Requirements for bonding and grounding of flammable liquids:</w:t>
      </w:r>
    </w:p>
    <w:p w14:paraId="045CADB4" w14:textId="25AC4E83" w:rsidR="005F7F15" w:rsidRPr="005F7F15" w:rsidRDefault="005F7F15" w:rsidP="005F7F15">
      <w:pPr>
        <w:pStyle w:val="BodyText2"/>
        <w:spacing w:after="0"/>
        <w:rPr>
          <w:rFonts w:cstheme="minorHAnsi"/>
          <w:sz w:val="22"/>
          <w:szCs w:val="22"/>
        </w:rPr>
      </w:pPr>
      <w:r w:rsidRPr="005F7F15">
        <w:rPr>
          <w:rFonts w:cstheme="minorHAnsi"/>
          <w:sz w:val="22"/>
          <w:szCs w:val="22"/>
        </w:rPr>
        <w:t>Depending on the volume of the dispensing (source) container (Table 1), containers (metal or non-metal) carrying flammable liquids with flash point &lt;100</w:t>
      </w:r>
      <w:r w:rsidR="00B53615">
        <w:rPr>
          <w:rFonts w:cstheme="minorHAnsi"/>
          <w:sz w:val="22"/>
          <w:szCs w:val="22"/>
        </w:rPr>
        <w:t>°</w:t>
      </w:r>
      <w:r w:rsidRPr="005F7F15">
        <w:rPr>
          <w:rFonts w:cstheme="minorHAnsi"/>
          <w:sz w:val="22"/>
          <w:szCs w:val="22"/>
        </w:rPr>
        <w:t>F (GHS category 1, 2 and 3*) must be grounded and bonded.</w:t>
      </w:r>
    </w:p>
    <w:p w14:paraId="7280845D" w14:textId="071029BE" w:rsidR="005F7F15" w:rsidRPr="005F7F15" w:rsidRDefault="005F7F15" w:rsidP="005F7F15">
      <w:pPr>
        <w:pStyle w:val="BodyText2"/>
        <w:spacing w:after="0"/>
        <w:rPr>
          <w:rFonts w:cstheme="minorHAnsi"/>
          <w:i/>
          <w:sz w:val="22"/>
          <w:szCs w:val="22"/>
        </w:rPr>
      </w:pPr>
      <w:r w:rsidRPr="005F7F15">
        <w:rPr>
          <w:rFonts w:cstheme="minorHAnsi"/>
          <w:i/>
          <w:sz w:val="22"/>
          <w:szCs w:val="22"/>
        </w:rPr>
        <w:t>* for flammable/combustible liquids with flash point &gt; 100</w:t>
      </w:r>
      <w:r w:rsidR="00B53615">
        <w:rPr>
          <w:rFonts w:cstheme="minorHAnsi"/>
          <w:i/>
          <w:sz w:val="22"/>
          <w:szCs w:val="22"/>
        </w:rPr>
        <w:t>°</w:t>
      </w:r>
      <w:r w:rsidRPr="005F7F15">
        <w:rPr>
          <w:rFonts w:cstheme="minorHAnsi"/>
          <w:i/>
          <w:sz w:val="22"/>
          <w:szCs w:val="22"/>
        </w:rPr>
        <w:t>F: bonding and grounding during transfer is required only if the liquid has been heated above its flashpoint.</w:t>
      </w:r>
    </w:p>
    <w:p w14:paraId="05B696B0" w14:textId="77777777" w:rsidR="00DD00F6" w:rsidRDefault="00DD00F6" w:rsidP="005F7F15">
      <w:pPr>
        <w:pStyle w:val="BodyText2"/>
        <w:spacing w:after="0"/>
        <w:rPr>
          <w:rFonts w:cstheme="minorHAnsi"/>
          <w:b/>
          <w:bCs/>
          <w:sz w:val="22"/>
          <w:szCs w:val="22"/>
        </w:rPr>
      </w:pPr>
    </w:p>
    <w:p w14:paraId="4762E9E8" w14:textId="0D3A03F5" w:rsidR="005F7F15" w:rsidRPr="00DD00F6" w:rsidRDefault="00DD00F6" w:rsidP="005F7F15">
      <w:pPr>
        <w:pStyle w:val="BodyText2"/>
        <w:spacing w:after="0"/>
        <w:rPr>
          <w:rFonts w:ascii="Arial" w:hAnsi="Arial" w:cs="Arial"/>
          <w:iCs/>
          <w:sz w:val="22"/>
          <w:szCs w:val="22"/>
        </w:rPr>
      </w:pPr>
      <w:r>
        <w:rPr>
          <w:rFonts w:cstheme="minorHAnsi"/>
          <w:b/>
          <w:bCs/>
          <w:sz w:val="22"/>
          <w:szCs w:val="22"/>
        </w:rPr>
        <w:t xml:space="preserve">Table 1: </w:t>
      </w:r>
      <w:r w:rsidRPr="005F7F15">
        <w:rPr>
          <w:rFonts w:cstheme="minorHAnsi"/>
          <w:b/>
          <w:bCs/>
          <w:sz w:val="22"/>
          <w:szCs w:val="22"/>
        </w:rPr>
        <w:t>Requirements for bonding and grounding of flammable liquids based on the size of the dispensing container</w:t>
      </w:r>
      <w:r>
        <w:rPr>
          <w:rFonts w:cstheme="minorHAnsi"/>
          <w:b/>
          <w:bCs/>
          <w:sz w:val="22"/>
          <w:szCs w:val="22"/>
        </w:rPr>
        <w:t>.</w:t>
      </w:r>
    </w:p>
    <w:tbl>
      <w:tblPr>
        <w:tblStyle w:val="TableGrid"/>
        <w:tblW w:w="10652" w:type="dxa"/>
        <w:tblLook w:val="04A0" w:firstRow="1" w:lastRow="0" w:firstColumn="1" w:lastColumn="0" w:noHBand="0" w:noVBand="1"/>
        <w:tblCaption w:val="When grounding and bondings is required"/>
        <w:tblDescription w:val="Table shows various containers for flammable liquids and indicates when grounding and bonding is required, where dispensing is safe to be performed based on container size."/>
      </w:tblPr>
      <w:tblGrid>
        <w:gridCol w:w="2875"/>
        <w:gridCol w:w="2700"/>
        <w:gridCol w:w="1530"/>
        <w:gridCol w:w="3547"/>
      </w:tblGrid>
      <w:tr w:rsidR="005F7F15" w:rsidRPr="0055736D" w14:paraId="2B200672" w14:textId="77777777" w:rsidTr="0055736D">
        <w:trPr>
          <w:trHeight w:val="917"/>
          <w:tblHeader/>
        </w:trPr>
        <w:tc>
          <w:tcPr>
            <w:tcW w:w="2875" w:type="dxa"/>
          </w:tcPr>
          <w:p w14:paraId="38B44884" w14:textId="77777777" w:rsidR="005F7F15" w:rsidRPr="0055736D" w:rsidRDefault="005F7F15" w:rsidP="00824622">
            <w:pPr>
              <w:pStyle w:val="BodyText2"/>
              <w:rPr>
                <w:rFonts w:cstheme="minorHAnsi"/>
                <w:b/>
                <w:sz w:val="22"/>
                <w:szCs w:val="22"/>
              </w:rPr>
            </w:pPr>
            <w:r w:rsidRPr="0055736D">
              <w:rPr>
                <w:rFonts w:cstheme="minorHAnsi"/>
                <w:b/>
                <w:sz w:val="22"/>
                <w:szCs w:val="22"/>
              </w:rPr>
              <w:t>Size of the dispensing (source) container</w:t>
            </w:r>
          </w:p>
        </w:tc>
        <w:tc>
          <w:tcPr>
            <w:tcW w:w="2700" w:type="dxa"/>
          </w:tcPr>
          <w:p w14:paraId="774EC49E" w14:textId="4B24F448" w:rsidR="005F7F15" w:rsidRPr="0055736D" w:rsidRDefault="00910348" w:rsidP="00824622">
            <w:pPr>
              <w:pStyle w:val="BodyText2"/>
              <w:rPr>
                <w:rFonts w:cstheme="minorHAnsi"/>
                <w:b/>
                <w:sz w:val="22"/>
                <w:szCs w:val="22"/>
              </w:rPr>
            </w:pPr>
            <w:r>
              <w:rPr>
                <w:rFonts w:cstheme="minorHAnsi"/>
                <w:b/>
                <w:sz w:val="22"/>
                <w:szCs w:val="22"/>
              </w:rPr>
              <w:t>Examples</w:t>
            </w:r>
          </w:p>
        </w:tc>
        <w:tc>
          <w:tcPr>
            <w:tcW w:w="1530" w:type="dxa"/>
          </w:tcPr>
          <w:p w14:paraId="23D9EB58" w14:textId="77777777" w:rsidR="005F7F15" w:rsidRPr="0055736D" w:rsidRDefault="005F7F15" w:rsidP="00824622">
            <w:pPr>
              <w:pStyle w:val="BodyText2"/>
              <w:rPr>
                <w:rFonts w:cstheme="minorHAnsi"/>
                <w:b/>
                <w:sz w:val="22"/>
                <w:szCs w:val="22"/>
              </w:rPr>
            </w:pPr>
            <w:r w:rsidRPr="0055736D">
              <w:rPr>
                <w:rFonts w:cstheme="minorHAnsi"/>
                <w:b/>
                <w:sz w:val="22"/>
                <w:szCs w:val="22"/>
              </w:rPr>
              <w:t>Bonding and grounding required?</w:t>
            </w:r>
          </w:p>
        </w:tc>
        <w:tc>
          <w:tcPr>
            <w:tcW w:w="3547" w:type="dxa"/>
          </w:tcPr>
          <w:p w14:paraId="7A2651E0" w14:textId="77777777" w:rsidR="005F7F15" w:rsidRPr="0055736D" w:rsidRDefault="005F7F15" w:rsidP="00824622">
            <w:pPr>
              <w:pStyle w:val="BodyText2"/>
              <w:rPr>
                <w:rFonts w:cstheme="minorHAnsi"/>
                <w:b/>
                <w:sz w:val="22"/>
                <w:szCs w:val="22"/>
              </w:rPr>
            </w:pPr>
            <w:r w:rsidRPr="0055736D">
              <w:rPr>
                <w:rFonts w:cstheme="minorHAnsi"/>
                <w:b/>
                <w:sz w:val="22"/>
                <w:szCs w:val="22"/>
              </w:rPr>
              <w:t>Location to perform transfer****</w:t>
            </w:r>
          </w:p>
        </w:tc>
      </w:tr>
      <w:tr w:rsidR="005F7F15" w14:paraId="0A8DA87A" w14:textId="77777777" w:rsidTr="00A14586">
        <w:trPr>
          <w:trHeight w:val="835"/>
        </w:trPr>
        <w:tc>
          <w:tcPr>
            <w:tcW w:w="2875" w:type="dxa"/>
          </w:tcPr>
          <w:p w14:paraId="06A417DD" w14:textId="77777777" w:rsidR="005F7F15" w:rsidRPr="005F7F15" w:rsidRDefault="005F7F15" w:rsidP="00824622">
            <w:pPr>
              <w:pStyle w:val="BodyText2"/>
              <w:rPr>
                <w:rFonts w:cstheme="minorHAnsi"/>
                <w:b/>
                <w:sz w:val="22"/>
                <w:szCs w:val="22"/>
              </w:rPr>
            </w:pPr>
            <w:r w:rsidRPr="005F7F15">
              <w:rPr>
                <w:rFonts w:cstheme="minorHAnsi"/>
                <w:b/>
                <w:sz w:val="22"/>
                <w:szCs w:val="22"/>
              </w:rPr>
              <w:t xml:space="preserve">Small </w:t>
            </w:r>
          </w:p>
          <w:p w14:paraId="60342198" w14:textId="197D8099" w:rsidR="005F7F15" w:rsidRPr="005F7F15" w:rsidRDefault="005F7F15" w:rsidP="00824622">
            <w:pPr>
              <w:pStyle w:val="BodyText2"/>
              <w:rPr>
                <w:rFonts w:cstheme="minorHAnsi"/>
                <w:sz w:val="22"/>
                <w:szCs w:val="22"/>
              </w:rPr>
            </w:pPr>
            <w:r w:rsidRPr="005F7F15">
              <w:rPr>
                <w:rFonts w:cstheme="minorHAnsi"/>
                <w:sz w:val="22"/>
                <w:szCs w:val="22"/>
              </w:rPr>
              <w:t>volume ≤ 1 gallon</w:t>
            </w:r>
            <w:r w:rsidR="00E85119">
              <w:rPr>
                <w:rFonts w:cstheme="minorHAnsi"/>
                <w:sz w:val="22"/>
                <w:szCs w:val="22"/>
              </w:rPr>
              <w:t xml:space="preserve"> </w:t>
            </w:r>
            <w:r w:rsidRPr="005F7F15">
              <w:rPr>
                <w:rFonts w:cstheme="minorHAnsi"/>
                <w:sz w:val="22"/>
                <w:szCs w:val="22"/>
              </w:rPr>
              <w:t>(4 L)</w:t>
            </w:r>
          </w:p>
        </w:tc>
        <w:tc>
          <w:tcPr>
            <w:tcW w:w="2700" w:type="dxa"/>
            <w:vAlign w:val="center"/>
          </w:tcPr>
          <w:p w14:paraId="4AF9B9C8" w14:textId="77777777" w:rsidR="005F7F15" w:rsidRPr="005F7F15" w:rsidRDefault="005F7F15" w:rsidP="00A14586">
            <w:pPr>
              <w:pStyle w:val="BodyText2"/>
              <w:jc w:val="center"/>
              <w:rPr>
                <w:rFonts w:cstheme="minorHAnsi"/>
                <w:sz w:val="22"/>
                <w:szCs w:val="22"/>
              </w:rPr>
            </w:pPr>
            <w:r w:rsidRPr="005F7F15">
              <w:rPr>
                <w:rFonts w:cstheme="minorHAnsi"/>
                <w:noProof/>
                <w:sz w:val="22"/>
                <w:szCs w:val="22"/>
              </w:rPr>
              <w:drawing>
                <wp:inline distT="0" distB="0" distL="0" distR="0" wp14:anchorId="2F46E334" wp14:editId="262F6ED5">
                  <wp:extent cx="361643" cy="672656"/>
                  <wp:effectExtent l="0" t="0" r="635" b="0"/>
                  <wp:docPr id="7" name="Picture 7" descr="Example of glass 4 lit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hanol, Optima&amp;trade; for HPLC, Fisher Chemical&amp;tr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666" cy="689439"/>
                          </a:xfrm>
                          <a:prstGeom prst="rect">
                            <a:avLst/>
                          </a:prstGeom>
                          <a:noFill/>
                          <a:ln>
                            <a:noFill/>
                          </a:ln>
                        </pic:spPr>
                      </pic:pic>
                    </a:graphicData>
                  </a:graphic>
                </wp:inline>
              </w:drawing>
            </w:r>
            <w:r w:rsidRPr="005F7F15">
              <w:rPr>
                <w:rFonts w:cstheme="minorHAnsi"/>
                <w:noProof/>
                <w:sz w:val="22"/>
                <w:szCs w:val="22"/>
              </w:rPr>
              <w:drawing>
                <wp:inline distT="0" distB="0" distL="0" distR="0" wp14:anchorId="528D6E9F" wp14:editId="3B510721">
                  <wp:extent cx="485140" cy="653819"/>
                  <wp:effectExtent l="0" t="0" r="0" b="0"/>
                  <wp:docPr id="11" name="Picture 11" descr="Example of a plastic 1 gallon bottle" title="Plastic 1 gallon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shopify.com/s/files/1/0003/3406/9819/products/C5340-1GAL_02c90444-6414-4ac0-9ea2-35ae14aea80a_1024x1024@2x.jpg?v=15574773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861" cy="670964"/>
                          </a:xfrm>
                          <a:prstGeom prst="rect">
                            <a:avLst/>
                          </a:prstGeom>
                          <a:noFill/>
                          <a:ln>
                            <a:noFill/>
                          </a:ln>
                        </pic:spPr>
                      </pic:pic>
                    </a:graphicData>
                  </a:graphic>
                </wp:inline>
              </w:drawing>
            </w:r>
          </w:p>
        </w:tc>
        <w:tc>
          <w:tcPr>
            <w:tcW w:w="1530" w:type="dxa"/>
          </w:tcPr>
          <w:p w14:paraId="69590745" w14:textId="77777777" w:rsidR="005F7F15" w:rsidRPr="005F7F15" w:rsidRDefault="005F7F15" w:rsidP="00824622">
            <w:pPr>
              <w:pStyle w:val="BodyText2"/>
              <w:rPr>
                <w:rFonts w:cstheme="minorHAnsi"/>
                <w:sz w:val="22"/>
                <w:szCs w:val="22"/>
              </w:rPr>
            </w:pPr>
            <w:r w:rsidRPr="005F7F15">
              <w:rPr>
                <w:rFonts w:cstheme="minorHAnsi"/>
                <w:sz w:val="22"/>
                <w:szCs w:val="22"/>
              </w:rPr>
              <w:t>No</w:t>
            </w:r>
          </w:p>
        </w:tc>
        <w:tc>
          <w:tcPr>
            <w:tcW w:w="3547" w:type="dxa"/>
          </w:tcPr>
          <w:p w14:paraId="1778C533" w14:textId="77777777" w:rsidR="005F7F15" w:rsidRPr="005F7F15" w:rsidRDefault="005F7F15" w:rsidP="00824622">
            <w:pPr>
              <w:pStyle w:val="BodyText2"/>
              <w:rPr>
                <w:rFonts w:cstheme="minorHAnsi"/>
                <w:sz w:val="22"/>
                <w:szCs w:val="22"/>
              </w:rPr>
            </w:pPr>
            <w:r w:rsidRPr="005F7F15">
              <w:rPr>
                <w:rFonts w:cstheme="minorHAnsi"/>
                <w:sz w:val="22"/>
                <w:szCs w:val="22"/>
              </w:rPr>
              <w:t>Chemical fume hood</w:t>
            </w:r>
          </w:p>
          <w:p w14:paraId="0F31F4EC" w14:textId="77777777" w:rsidR="005F7F15" w:rsidRPr="005F7F15" w:rsidRDefault="005F7F15" w:rsidP="00824622">
            <w:pPr>
              <w:pStyle w:val="BodyText2"/>
              <w:rPr>
                <w:rFonts w:cstheme="minorHAnsi"/>
                <w:sz w:val="22"/>
                <w:szCs w:val="22"/>
              </w:rPr>
            </w:pPr>
            <w:r w:rsidRPr="005F7F15">
              <w:rPr>
                <w:rFonts w:cstheme="minorHAnsi"/>
                <w:sz w:val="22"/>
                <w:szCs w:val="22"/>
              </w:rPr>
              <w:t xml:space="preserve">Standard Lab bench </w:t>
            </w:r>
          </w:p>
        </w:tc>
      </w:tr>
      <w:tr w:rsidR="005F7F15" w14:paraId="4D2954CF" w14:textId="77777777" w:rsidTr="00AD119E">
        <w:trPr>
          <w:trHeight w:val="1250"/>
        </w:trPr>
        <w:tc>
          <w:tcPr>
            <w:tcW w:w="2875" w:type="dxa"/>
          </w:tcPr>
          <w:p w14:paraId="77850045" w14:textId="77777777" w:rsidR="005F7F15" w:rsidRPr="005F7F15" w:rsidRDefault="005F7F15" w:rsidP="00824622">
            <w:pPr>
              <w:pStyle w:val="BodyText2"/>
              <w:rPr>
                <w:rFonts w:cstheme="minorHAnsi"/>
                <w:b/>
                <w:sz w:val="22"/>
                <w:szCs w:val="22"/>
              </w:rPr>
            </w:pPr>
            <w:r w:rsidRPr="005F7F15">
              <w:rPr>
                <w:rFonts w:cstheme="minorHAnsi"/>
                <w:b/>
                <w:sz w:val="22"/>
                <w:szCs w:val="22"/>
              </w:rPr>
              <w:t>Medium</w:t>
            </w:r>
          </w:p>
          <w:p w14:paraId="446860DC" w14:textId="77777777" w:rsidR="005F7F15" w:rsidRPr="005F7F15" w:rsidRDefault="005F7F15" w:rsidP="00824622">
            <w:pPr>
              <w:pStyle w:val="BodyText2"/>
              <w:rPr>
                <w:rFonts w:cstheme="minorHAnsi"/>
                <w:b/>
                <w:sz w:val="22"/>
                <w:szCs w:val="22"/>
              </w:rPr>
            </w:pPr>
            <w:r w:rsidRPr="005F7F15">
              <w:rPr>
                <w:rFonts w:cstheme="minorHAnsi"/>
                <w:sz w:val="22"/>
                <w:szCs w:val="22"/>
              </w:rPr>
              <w:t>volume &gt; 1 gallon (4 L) and &lt; 20 gallons (75 L)</w:t>
            </w:r>
          </w:p>
        </w:tc>
        <w:tc>
          <w:tcPr>
            <w:tcW w:w="2700" w:type="dxa"/>
            <w:vAlign w:val="center"/>
          </w:tcPr>
          <w:p w14:paraId="7358B342" w14:textId="77777777" w:rsidR="005F7F15" w:rsidRPr="005F7F15" w:rsidRDefault="005F7F15" w:rsidP="00AD119E">
            <w:pPr>
              <w:pStyle w:val="BodyText2"/>
              <w:jc w:val="center"/>
              <w:rPr>
                <w:rFonts w:cstheme="minorHAnsi"/>
                <w:sz w:val="22"/>
                <w:szCs w:val="22"/>
              </w:rPr>
            </w:pPr>
            <w:r w:rsidRPr="005F7F15">
              <w:rPr>
                <w:rFonts w:cstheme="minorHAnsi"/>
                <w:noProof/>
                <w:sz w:val="22"/>
                <w:szCs w:val="22"/>
              </w:rPr>
              <w:drawing>
                <wp:inline distT="0" distB="0" distL="0" distR="0" wp14:anchorId="3A2071AF" wp14:editId="13125C22">
                  <wp:extent cx="685362" cy="656893"/>
                  <wp:effectExtent l="0" t="0" r="635" b="0"/>
                  <wp:docPr id="9" name="Picture 9" descr="Example of 5 gallon metal drum" title="5 gallon metal d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cetone five gallon fis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908" cy="669876"/>
                          </a:xfrm>
                          <a:prstGeom prst="rect">
                            <a:avLst/>
                          </a:prstGeom>
                          <a:noFill/>
                          <a:ln>
                            <a:noFill/>
                          </a:ln>
                        </pic:spPr>
                      </pic:pic>
                    </a:graphicData>
                  </a:graphic>
                </wp:inline>
              </w:drawing>
            </w:r>
            <w:r w:rsidRPr="005F7F15">
              <w:rPr>
                <w:rFonts w:cstheme="minorHAnsi"/>
                <w:noProof/>
                <w:sz w:val="22"/>
                <w:szCs w:val="22"/>
              </w:rPr>
              <w:drawing>
                <wp:inline distT="0" distB="0" distL="0" distR="0" wp14:anchorId="2723C0EE" wp14:editId="455D7796">
                  <wp:extent cx="628650" cy="628650"/>
                  <wp:effectExtent l="0" t="0" r="0" b="0"/>
                  <wp:docPr id="207" name="Picture 207" descr="Example of metal flammable liquid safety can" title="Metal flammable liquid safety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ty Can Type I - Five Gallon Galvanized Steel, 71501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1530" w:type="dxa"/>
          </w:tcPr>
          <w:p w14:paraId="2CE1D4ED" w14:textId="77777777" w:rsidR="005F7F15" w:rsidRPr="005F7F15" w:rsidRDefault="005F7F15" w:rsidP="00824622">
            <w:pPr>
              <w:pStyle w:val="BodyText2"/>
              <w:rPr>
                <w:rFonts w:cstheme="minorHAnsi"/>
                <w:sz w:val="22"/>
                <w:szCs w:val="22"/>
              </w:rPr>
            </w:pPr>
            <w:r w:rsidRPr="005F7F15">
              <w:rPr>
                <w:rFonts w:cstheme="minorHAnsi"/>
                <w:sz w:val="22"/>
                <w:szCs w:val="22"/>
              </w:rPr>
              <w:t>Yes***</w:t>
            </w:r>
          </w:p>
        </w:tc>
        <w:tc>
          <w:tcPr>
            <w:tcW w:w="3547" w:type="dxa"/>
          </w:tcPr>
          <w:p w14:paraId="6EB25BF1" w14:textId="77777777" w:rsidR="005F7F15" w:rsidRPr="005F7F15" w:rsidRDefault="005F7F15" w:rsidP="00824622">
            <w:pPr>
              <w:pStyle w:val="BodyText2"/>
              <w:rPr>
                <w:rFonts w:cstheme="minorHAnsi"/>
                <w:sz w:val="22"/>
                <w:szCs w:val="22"/>
              </w:rPr>
            </w:pPr>
            <w:r w:rsidRPr="005F7F15">
              <w:rPr>
                <w:rFonts w:cstheme="minorHAnsi"/>
                <w:sz w:val="22"/>
                <w:szCs w:val="22"/>
              </w:rPr>
              <w:t>Chemical fume hood</w:t>
            </w:r>
          </w:p>
          <w:p w14:paraId="4B7E1034" w14:textId="77777777" w:rsidR="005F7F15" w:rsidRPr="005F7F15" w:rsidRDefault="005F7F15" w:rsidP="00824622">
            <w:pPr>
              <w:pStyle w:val="BodyText2"/>
              <w:rPr>
                <w:rFonts w:cstheme="minorHAnsi"/>
                <w:sz w:val="22"/>
                <w:szCs w:val="22"/>
              </w:rPr>
            </w:pPr>
            <w:r w:rsidRPr="005F7F15">
              <w:rPr>
                <w:rFonts w:cstheme="minorHAnsi"/>
                <w:sz w:val="22"/>
                <w:szCs w:val="22"/>
              </w:rPr>
              <w:t>Standard Lab bench</w:t>
            </w:r>
          </w:p>
          <w:p w14:paraId="3E408B35" w14:textId="77777777" w:rsidR="005F7F15" w:rsidRPr="005F7F15" w:rsidRDefault="005F7F15" w:rsidP="00824622">
            <w:pPr>
              <w:pStyle w:val="BodyText2"/>
              <w:rPr>
                <w:rFonts w:cstheme="minorHAnsi"/>
                <w:sz w:val="22"/>
                <w:szCs w:val="22"/>
              </w:rPr>
            </w:pPr>
            <w:r w:rsidRPr="005F7F15">
              <w:rPr>
                <w:rFonts w:cstheme="minorHAnsi"/>
                <w:sz w:val="22"/>
                <w:szCs w:val="22"/>
              </w:rPr>
              <w:t>Flammable liquid storage room</w:t>
            </w:r>
          </w:p>
        </w:tc>
      </w:tr>
      <w:tr w:rsidR="005F7F15" w14:paraId="00096481" w14:textId="77777777" w:rsidTr="00AD119E">
        <w:trPr>
          <w:trHeight w:val="1313"/>
        </w:trPr>
        <w:tc>
          <w:tcPr>
            <w:tcW w:w="2875" w:type="dxa"/>
          </w:tcPr>
          <w:p w14:paraId="45A759E6" w14:textId="77777777" w:rsidR="005F7F15" w:rsidRPr="005F7F15" w:rsidRDefault="005F7F15" w:rsidP="00824622">
            <w:pPr>
              <w:pStyle w:val="BodyText2"/>
              <w:rPr>
                <w:rFonts w:cstheme="minorHAnsi"/>
                <w:sz w:val="22"/>
                <w:szCs w:val="22"/>
              </w:rPr>
            </w:pPr>
            <w:r w:rsidRPr="005F7F15">
              <w:rPr>
                <w:rFonts w:cstheme="minorHAnsi"/>
                <w:b/>
                <w:sz w:val="22"/>
                <w:szCs w:val="22"/>
              </w:rPr>
              <w:t>Large**</w:t>
            </w:r>
          </w:p>
          <w:p w14:paraId="40309815" w14:textId="77777777" w:rsidR="005F7F15" w:rsidRPr="005F7F15" w:rsidRDefault="005F7F15" w:rsidP="00824622">
            <w:pPr>
              <w:pStyle w:val="BodyText2"/>
              <w:rPr>
                <w:rFonts w:cstheme="minorHAnsi"/>
                <w:sz w:val="22"/>
                <w:szCs w:val="22"/>
              </w:rPr>
            </w:pPr>
            <w:r w:rsidRPr="005F7F15">
              <w:rPr>
                <w:rFonts w:cstheme="minorHAnsi"/>
                <w:sz w:val="22"/>
                <w:szCs w:val="22"/>
              </w:rPr>
              <w:t>volume ≥ 20 gallons (75 L) and &lt; 55 gallons (208 L)</w:t>
            </w:r>
          </w:p>
        </w:tc>
        <w:tc>
          <w:tcPr>
            <w:tcW w:w="2700" w:type="dxa"/>
            <w:vAlign w:val="center"/>
          </w:tcPr>
          <w:p w14:paraId="23473B11" w14:textId="05CF1954" w:rsidR="005F7F15" w:rsidRPr="005F7F15" w:rsidRDefault="005F7F15" w:rsidP="008402F2">
            <w:pPr>
              <w:pStyle w:val="BodyText2"/>
              <w:spacing w:before="40" w:after="120"/>
              <w:jc w:val="center"/>
              <w:rPr>
                <w:rFonts w:cstheme="minorHAnsi"/>
                <w:noProof/>
                <w:sz w:val="22"/>
                <w:szCs w:val="22"/>
              </w:rPr>
            </w:pPr>
            <w:r w:rsidRPr="005F7F15">
              <w:rPr>
                <w:rFonts w:cstheme="minorHAnsi"/>
                <w:noProof/>
                <w:sz w:val="22"/>
                <w:szCs w:val="22"/>
              </w:rPr>
              <w:drawing>
                <wp:inline distT="0" distB="0" distL="0" distR="0" wp14:anchorId="329B6183" wp14:editId="03DD59A4">
                  <wp:extent cx="685800" cy="685800"/>
                  <wp:effectExtent l="0" t="0" r="0" b="0"/>
                  <wp:docPr id="1" name="Picture 1" descr="Example of 55 gallon metal drum" title="55 gallon metal d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etone one gall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70695E" w:rsidRPr="0070695E">
              <w:rPr>
                <w:rFonts w:cstheme="minorHAnsi"/>
                <w:noProof/>
                <w:sz w:val="22"/>
                <w:szCs w:val="22"/>
              </w:rPr>
              <w:drawing>
                <wp:inline distT="0" distB="0" distL="0" distR="0" wp14:anchorId="750B64E8" wp14:editId="0FE7F7D6">
                  <wp:extent cx="512063" cy="685800"/>
                  <wp:effectExtent l="0" t="0" r="2540" b="0"/>
                  <wp:docPr id="31" name="Picture 31" descr="55 gallon plastic drum with red X indicate not appropriate" title="55 gallon plastic drum with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063" cy="685800"/>
                          </a:xfrm>
                          <a:prstGeom prst="rect">
                            <a:avLst/>
                          </a:prstGeom>
                        </pic:spPr>
                      </pic:pic>
                    </a:graphicData>
                  </a:graphic>
                </wp:inline>
              </w:drawing>
            </w:r>
          </w:p>
        </w:tc>
        <w:tc>
          <w:tcPr>
            <w:tcW w:w="1530" w:type="dxa"/>
          </w:tcPr>
          <w:p w14:paraId="7EB1C20E" w14:textId="77777777" w:rsidR="005F7F15" w:rsidRPr="005F7F15" w:rsidRDefault="005F7F15" w:rsidP="00824622">
            <w:pPr>
              <w:pStyle w:val="BodyText2"/>
              <w:rPr>
                <w:rFonts w:cstheme="minorHAnsi"/>
                <w:sz w:val="22"/>
                <w:szCs w:val="22"/>
              </w:rPr>
            </w:pPr>
            <w:r w:rsidRPr="005F7F15">
              <w:rPr>
                <w:rFonts w:cstheme="minorHAnsi"/>
                <w:sz w:val="22"/>
                <w:szCs w:val="22"/>
              </w:rPr>
              <w:t>Yes***</w:t>
            </w:r>
          </w:p>
          <w:p w14:paraId="046E8CD9" w14:textId="77777777" w:rsidR="005F7F15" w:rsidRPr="005F7F15" w:rsidRDefault="005F7F15" w:rsidP="00824622">
            <w:pPr>
              <w:pStyle w:val="BodyText2"/>
              <w:rPr>
                <w:rFonts w:cstheme="minorHAnsi"/>
                <w:sz w:val="22"/>
                <w:szCs w:val="22"/>
              </w:rPr>
            </w:pPr>
          </w:p>
        </w:tc>
        <w:tc>
          <w:tcPr>
            <w:tcW w:w="3547" w:type="dxa"/>
          </w:tcPr>
          <w:p w14:paraId="201E1AC1" w14:textId="77777777" w:rsidR="005F7F15" w:rsidRPr="005F7F15" w:rsidRDefault="005F7F15" w:rsidP="00824622">
            <w:pPr>
              <w:pStyle w:val="BodyText2"/>
              <w:rPr>
                <w:rFonts w:cstheme="minorHAnsi"/>
                <w:sz w:val="22"/>
                <w:szCs w:val="22"/>
              </w:rPr>
            </w:pPr>
            <w:r w:rsidRPr="005F7F15">
              <w:rPr>
                <w:rFonts w:cstheme="minorHAnsi"/>
                <w:sz w:val="22"/>
                <w:szCs w:val="22"/>
              </w:rPr>
              <w:t>Flammable liquids storage room</w:t>
            </w:r>
          </w:p>
          <w:p w14:paraId="3DF52140" w14:textId="77777777" w:rsidR="005F7F15" w:rsidRPr="005F7F15" w:rsidRDefault="005F7F15" w:rsidP="00824622">
            <w:pPr>
              <w:pStyle w:val="BodyText2"/>
              <w:rPr>
                <w:rFonts w:cstheme="minorHAnsi"/>
                <w:sz w:val="22"/>
                <w:szCs w:val="22"/>
              </w:rPr>
            </w:pPr>
            <w:r w:rsidRPr="005F7F15">
              <w:rPr>
                <w:rFonts w:cstheme="minorHAnsi"/>
                <w:sz w:val="22"/>
                <w:szCs w:val="22"/>
              </w:rPr>
              <w:t xml:space="preserve">Outdoors </w:t>
            </w:r>
          </w:p>
        </w:tc>
      </w:tr>
    </w:tbl>
    <w:p w14:paraId="0D5F7BC0" w14:textId="77777777" w:rsidR="00DD00F6" w:rsidRPr="00DD00F6" w:rsidRDefault="00DD00F6" w:rsidP="00DD00F6">
      <w:pPr>
        <w:spacing w:after="0" w:line="240" w:lineRule="auto"/>
      </w:pPr>
      <w:r w:rsidRPr="00DD00F6">
        <w:t>** Metal containers only</w:t>
      </w:r>
    </w:p>
    <w:p w14:paraId="231B25AE" w14:textId="77777777" w:rsidR="00DD00F6" w:rsidRPr="00DD00F6" w:rsidRDefault="00DD00F6" w:rsidP="00DD00F6">
      <w:pPr>
        <w:spacing w:after="0" w:line="240" w:lineRule="auto"/>
      </w:pPr>
      <w:r w:rsidRPr="00DD00F6">
        <w:t>*** Contact WSU Fire Marshall for assistance with initial setup</w:t>
      </w:r>
    </w:p>
    <w:p w14:paraId="4C107AE1" w14:textId="63814F23" w:rsidR="005F7F15" w:rsidRPr="00DD00F6" w:rsidRDefault="00DD00F6" w:rsidP="00DD00F6">
      <w:pPr>
        <w:pStyle w:val="BodyText2"/>
        <w:spacing w:after="0" w:line="240" w:lineRule="auto"/>
        <w:rPr>
          <w:rFonts w:cstheme="minorHAnsi"/>
          <w:bCs/>
          <w:sz w:val="22"/>
          <w:szCs w:val="22"/>
        </w:rPr>
      </w:pPr>
      <w:r w:rsidRPr="00DD00F6">
        <w:rPr>
          <w:sz w:val="22"/>
          <w:szCs w:val="22"/>
        </w:rPr>
        <w:t xml:space="preserve">**** Location of transfer should always be in a well-ventilated area and </w:t>
      </w:r>
      <w:r w:rsidRPr="00DD00F6">
        <w:rPr>
          <w:b/>
          <w:sz w:val="22"/>
          <w:szCs w:val="22"/>
        </w:rPr>
        <w:t>MUST</w:t>
      </w:r>
      <w:r w:rsidRPr="00DD00F6">
        <w:rPr>
          <w:sz w:val="22"/>
          <w:szCs w:val="22"/>
        </w:rPr>
        <w:t xml:space="preserve"> be away from open flames or heat sources (e.g., hot plates, Bunsen burners etc.) and/or electrically charged equipment.</w:t>
      </w:r>
    </w:p>
    <w:p w14:paraId="054A44B2" w14:textId="77777777" w:rsidR="00DD00F6" w:rsidRDefault="00DD00F6">
      <w:pPr>
        <w:rPr>
          <w:rStyle w:val="BookTitle"/>
          <w:szCs w:val="20"/>
        </w:rPr>
      </w:pPr>
      <w:r>
        <w:rPr>
          <w:rStyle w:val="BookTitle"/>
          <w:szCs w:val="20"/>
        </w:rPr>
        <w:br w:type="page"/>
      </w:r>
    </w:p>
    <w:p w14:paraId="02A98CE9" w14:textId="1717C0C0" w:rsidR="00910348" w:rsidRPr="00AC3A1F" w:rsidRDefault="00910348" w:rsidP="00910348">
      <w:pPr>
        <w:shd w:val="clear" w:color="auto" w:fill="D9D9D9" w:themeFill="background1" w:themeFillShade="D9"/>
        <w:spacing w:before="80" w:after="80" w:line="240" w:lineRule="auto"/>
        <w:jc w:val="both"/>
        <w:rPr>
          <w:rStyle w:val="BookTitle"/>
          <w:rFonts w:ascii="Arial" w:hAnsi="Arial" w:cs="Arial"/>
          <w:bCs w:val="0"/>
          <w:smallCaps w:val="0"/>
          <w:spacing w:val="0"/>
          <w:szCs w:val="20"/>
        </w:rPr>
      </w:pPr>
      <w:r w:rsidRPr="005F7F15">
        <w:rPr>
          <w:rStyle w:val="BookTitle"/>
          <w:szCs w:val="20"/>
        </w:rPr>
        <w:lastRenderedPageBreak/>
        <w:t>Steps for safe transfer of flammable liquids using grounding and bonding</w:t>
      </w:r>
    </w:p>
    <w:p w14:paraId="3D8F72B4" w14:textId="77777777" w:rsidR="00910348" w:rsidRDefault="00910348" w:rsidP="000121A0">
      <w:pPr>
        <w:pStyle w:val="BodyText2"/>
        <w:spacing w:after="80"/>
        <w:contextualSpacing/>
        <w:rPr>
          <w:rStyle w:val="Hyperlink"/>
          <w:rFonts w:cstheme="minorHAnsi"/>
          <w:color w:val="000000" w:themeColor="text1"/>
          <w:sz w:val="22"/>
          <w:szCs w:val="22"/>
          <w:u w:val="none"/>
        </w:rPr>
      </w:pPr>
      <w:r w:rsidRPr="005F7F15">
        <w:rPr>
          <w:rFonts w:cstheme="minorHAnsi"/>
          <w:sz w:val="22"/>
          <w:szCs w:val="22"/>
        </w:rPr>
        <w:t xml:space="preserve">The pictures below illustrate a bonding and grounding system setup for small volume solvent transfer from a dispensing container to a metal (Figure 1) or non-metal (Figure 2) receiving container.  It is recommended that users contact the </w:t>
      </w:r>
      <w:hyperlink r:id="rId14" w:history="1">
        <w:r w:rsidRPr="005F7F15">
          <w:rPr>
            <w:rStyle w:val="Hyperlink"/>
            <w:rFonts w:cstheme="minorHAnsi"/>
            <w:sz w:val="22"/>
            <w:szCs w:val="22"/>
          </w:rPr>
          <w:t>WSU Fire Marshall</w:t>
        </w:r>
      </w:hyperlink>
      <w:r w:rsidRPr="005F7F15">
        <w:rPr>
          <w:rFonts w:cstheme="minorHAnsi"/>
          <w:sz w:val="22"/>
          <w:szCs w:val="22"/>
        </w:rPr>
        <w:t xml:space="preserve"> </w:t>
      </w:r>
      <w:r w:rsidRPr="00E85119">
        <w:rPr>
          <w:rFonts w:cstheme="minorHAnsi"/>
          <w:color w:val="000000" w:themeColor="text1"/>
          <w:sz w:val="22"/>
          <w:szCs w:val="22"/>
        </w:rPr>
        <w:t>(</w:t>
      </w:r>
      <w:r w:rsidRPr="00E85119">
        <w:rPr>
          <w:rStyle w:val="Hyperlink"/>
          <w:rFonts w:cstheme="minorHAnsi"/>
          <w:color w:val="000000" w:themeColor="text1"/>
          <w:sz w:val="22"/>
          <w:szCs w:val="22"/>
          <w:u w:val="none"/>
        </w:rPr>
        <w:t>313 577-3110) or OEHS (313 577-1200) for assistance with initial setup.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ounding and bonding when using a metal receiving container"/>
        <w:tblDescription w:val="Steps for grounding and bonding when using a metal receiving container"/>
      </w:tblPr>
      <w:tblGrid>
        <w:gridCol w:w="3036"/>
        <w:gridCol w:w="7754"/>
      </w:tblGrid>
      <w:tr w:rsidR="00910348" w14:paraId="5446F775" w14:textId="77777777" w:rsidTr="006F6934">
        <w:trPr>
          <w:tblHeader/>
        </w:trPr>
        <w:tc>
          <w:tcPr>
            <w:tcW w:w="10790" w:type="dxa"/>
            <w:gridSpan w:val="2"/>
          </w:tcPr>
          <w:p w14:paraId="374B068C" w14:textId="5332569F" w:rsidR="00910348" w:rsidRPr="00910348" w:rsidRDefault="000121A0" w:rsidP="000121A0">
            <w:pPr>
              <w:rPr>
                <w:b/>
              </w:rPr>
            </w:pPr>
            <w:r>
              <w:rPr>
                <w:b/>
              </w:rPr>
              <w:t>Figure</w:t>
            </w:r>
            <w:r w:rsidR="00910348" w:rsidRPr="00910348">
              <w:rPr>
                <w:b/>
              </w:rPr>
              <w:t xml:space="preserve"> </w:t>
            </w:r>
            <w:r>
              <w:rPr>
                <w:b/>
              </w:rPr>
              <w:t>1</w:t>
            </w:r>
            <w:r w:rsidR="00910348" w:rsidRPr="00910348">
              <w:rPr>
                <w:b/>
              </w:rPr>
              <w:t>: Grounding and bonding when using a metal receiving container</w:t>
            </w:r>
          </w:p>
        </w:tc>
      </w:tr>
      <w:tr w:rsidR="00910348" w14:paraId="247E22AF" w14:textId="77777777" w:rsidTr="006F6934">
        <w:trPr>
          <w:trHeight w:val="1516"/>
        </w:trPr>
        <w:tc>
          <w:tcPr>
            <w:tcW w:w="3036" w:type="dxa"/>
            <w:vMerge w:val="restart"/>
            <w:vAlign w:val="center"/>
          </w:tcPr>
          <w:p w14:paraId="41903219" w14:textId="07AC30A4" w:rsidR="00910348" w:rsidRDefault="00A91A87" w:rsidP="00A91A87">
            <w:pPr>
              <w:jc w:val="center"/>
            </w:pPr>
            <w:r w:rsidRPr="00A91A87">
              <w:rPr>
                <w:noProof/>
              </w:rPr>
              <w:drawing>
                <wp:inline distT="0" distB="0" distL="0" distR="0" wp14:anchorId="73D2B0AF" wp14:editId="5FA893A9">
                  <wp:extent cx="1687397" cy="2743200"/>
                  <wp:effectExtent l="0" t="0" r="8255" b="0"/>
                  <wp:docPr id="29" name="Picture 29" descr="Image showing grounding and bonding steps when using a metal receiving container" title="Grounding and bonding when using a metal receiving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87397" cy="2743200"/>
                          </a:xfrm>
                          <a:prstGeom prst="rect">
                            <a:avLst/>
                          </a:prstGeom>
                        </pic:spPr>
                      </pic:pic>
                    </a:graphicData>
                  </a:graphic>
                </wp:inline>
              </w:drawing>
            </w:r>
          </w:p>
        </w:tc>
        <w:tc>
          <w:tcPr>
            <w:tcW w:w="7754" w:type="dxa"/>
          </w:tcPr>
          <w:p w14:paraId="53DEC6D1" w14:textId="606C4451" w:rsidR="00910348" w:rsidRDefault="00910348" w:rsidP="006C6D3C">
            <w:pPr>
              <w:pStyle w:val="ListParagraph"/>
              <w:numPr>
                <w:ilvl w:val="0"/>
                <w:numId w:val="8"/>
              </w:numPr>
              <w:spacing w:before="80"/>
            </w:pPr>
            <w:r w:rsidRPr="00910348">
              <w:rPr>
                <w:rFonts w:cstheme="minorHAnsi"/>
              </w:rPr>
              <w:t>Connect the dispensing vessel to the earth ground or a building static grounding system using a grounding cable. Some locations may have permanent grounding cables available.</w:t>
            </w:r>
          </w:p>
        </w:tc>
      </w:tr>
      <w:tr w:rsidR="00910348" w14:paraId="05CA2490" w14:textId="77777777" w:rsidTr="006C6D3C">
        <w:trPr>
          <w:trHeight w:val="1516"/>
        </w:trPr>
        <w:tc>
          <w:tcPr>
            <w:tcW w:w="3036" w:type="dxa"/>
            <w:vMerge/>
          </w:tcPr>
          <w:p w14:paraId="1605567D" w14:textId="77777777" w:rsidR="00910348" w:rsidRDefault="00910348" w:rsidP="00910348"/>
        </w:tc>
        <w:tc>
          <w:tcPr>
            <w:tcW w:w="7754" w:type="dxa"/>
            <w:vAlign w:val="center"/>
          </w:tcPr>
          <w:p w14:paraId="65D3B4C0" w14:textId="5CC5DA5D" w:rsidR="00910348" w:rsidRDefault="00910348" w:rsidP="006C6D3C">
            <w:pPr>
              <w:pStyle w:val="ListParagraph"/>
              <w:numPr>
                <w:ilvl w:val="0"/>
                <w:numId w:val="8"/>
              </w:numPr>
            </w:pPr>
            <w:r w:rsidRPr="00E61F43">
              <w:rPr>
                <w:rFonts w:cstheme="minorHAnsi"/>
              </w:rPr>
              <w:t>For metal containers, connect the bonding cable from the dispensing vessel to the receiving vessel directly or via a metallic floorplate.</w:t>
            </w:r>
          </w:p>
        </w:tc>
      </w:tr>
      <w:tr w:rsidR="00910348" w14:paraId="7A8C1EC3" w14:textId="77777777" w:rsidTr="006C6D3C">
        <w:trPr>
          <w:trHeight w:val="1349"/>
        </w:trPr>
        <w:tc>
          <w:tcPr>
            <w:tcW w:w="3036" w:type="dxa"/>
            <w:vMerge/>
          </w:tcPr>
          <w:p w14:paraId="36E950A0" w14:textId="77777777" w:rsidR="00910348" w:rsidRDefault="00910348" w:rsidP="00910348"/>
        </w:tc>
        <w:tc>
          <w:tcPr>
            <w:tcW w:w="7754" w:type="dxa"/>
            <w:vAlign w:val="center"/>
          </w:tcPr>
          <w:p w14:paraId="2FC6D953" w14:textId="69122582" w:rsidR="00910348" w:rsidRDefault="00910348" w:rsidP="005D079C">
            <w:pPr>
              <w:pStyle w:val="ListParagraph"/>
              <w:numPr>
                <w:ilvl w:val="0"/>
                <w:numId w:val="8"/>
              </w:numPr>
            </w:pPr>
            <w:r w:rsidRPr="00E61F43">
              <w:rPr>
                <w:rFonts w:cstheme="minorHAnsi"/>
              </w:rPr>
              <w:t>A metallic floorplate is used to provide a bond for the receiving container.  It can also serve as secondary containment during the transfer process.</w:t>
            </w:r>
          </w:p>
        </w:tc>
      </w:tr>
    </w:tbl>
    <w:p w14:paraId="45D4AF9E" w14:textId="1A1BF26E" w:rsidR="002E52C0" w:rsidRDefault="002E52C0" w:rsidP="00A91A8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ounding and bonding when using a non-metal receiving container"/>
        <w:tblDescription w:val="Steps for grounding and bonding when using a non-metal receiving container"/>
      </w:tblPr>
      <w:tblGrid>
        <w:gridCol w:w="3055"/>
        <w:gridCol w:w="7735"/>
      </w:tblGrid>
      <w:tr w:rsidR="00A91A87" w14:paraId="04D7CBE3" w14:textId="77777777" w:rsidTr="006F6934">
        <w:trPr>
          <w:tblHeader/>
        </w:trPr>
        <w:tc>
          <w:tcPr>
            <w:tcW w:w="10790" w:type="dxa"/>
            <w:gridSpan w:val="2"/>
          </w:tcPr>
          <w:p w14:paraId="2F1CF460" w14:textId="33C1C00E" w:rsidR="00A91A87" w:rsidRPr="00A91A87" w:rsidRDefault="000121A0" w:rsidP="000121A0">
            <w:pPr>
              <w:rPr>
                <w:b/>
              </w:rPr>
            </w:pPr>
            <w:r>
              <w:rPr>
                <w:b/>
              </w:rPr>
              <w:t>Figure</w:t>
            </w:r>
            <w:r w:rsidR="00A91A87">
              <w:rPr>
                <w:b/>
              </w:rPr>
              <w:t xml:space="preserve"> </w:t>
            </w:r>
            <w:r>
              <w:rPr>
                <w:b/>
              </w:rPr>
              <w:t>2</w:t>
            </w:r>
            <w:r w:rsidR="00A91A87">
              <w:rPr>
                <w:b/>
              </w:rPr>
              <w:t>: Grounding and bonding when using a non-metal receiving container</w:t>
            </w:r>
          </w:p>
        </w:tc>
      </w:tr>
      <w:tr w:rsidR="00A91A87" w14:paraId="4BE97ECE" w14:textId="77777777" w:rsidTr="006F6934">
        <w:trPr>
          <w:trHeight w:val="2231"/>
        </w:trPr>
        <w:tc>
          <w:tcPr>
            <w:tcW w:w="3055" w:type="dxa"/>
            <w:vMerge w:val="restart"/>
            <w:vAlign w:val="center"/>
          </w:tcPr>
          <w:p w14:paraId="65B5821A" w14:textId="6B5D27C8" w:rsidR="00A91A87" w:rsidRDefault="000121A0" w:rsidP="008402F2">
            <w:pPr>
              <w:spacing w:before="20" w:after="40"/>
              <w:jc w:val="center"/>
            </w:pPr>
            <w:r w:rsidRPr="000121A0">
              <w:rPr>
                <w:noProof/>
              </w:rPr>
              <w:drawing>
                <wp:inline distT="0" distB="0" distL="0" distR="0" wp14:anchorId="6FCC1000" wp14:editId="25225594">
                  <wp:extent cx="1724162" cy="2834640"/>
                  <wp:effectExtent l="0" t="0" r="9525" b="3810"/>
                  <wp:docPr id="30" name="Picture 30" descr="Image showing grounding and bonding steps when using a non-metal receiving container" title="Grounding and bonding when using a non-metal receiving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24162" cy="2834640"/>
                          </a:xfrm>
                          <a:prstGeom prst="rect">
                            <a:avLst/>
                          </a:prstGeom>
                        </pic:spPr>
                      </pic:pic>
                    </a:graphicData>
                  </a:graphic>
                </wp:inline>
              </w:drawing>
            </w:r>
          </w:p>
        </w:tc>
        <w:tc>
          <w:tcPr>
            <w:tcW w:w="7735" w:type="dxa"/>
          </w:tcPr>
          <w:p w14:paraId="57CF4392" w14:textId="65A93E1C" w:rsidR="00A91A87" w:rsidRPr="005F7F15" w:rsidRDefault="00A91A87" w:rsidP="006C6D3C">
            <w:pPr>
              <w:pStyle w:val="BodyText2"/>
              <w:numPr>
                <w:ilvl w:val="0"/>
                <w:numId w:val="9"/>
              </w:numPr>
              <w:spacing w:before="80" w:after="0" w:line="240" w:lineRule="auto"/>
              <w:rPr>
                <w:rFonts w:cstheme="minorHAnsi"/>
                <w:sz w:val="22"/>
                <w:szCs w:val="22"/>
              </w:rPr>
            </w:pPr>
            <w:r w:rsidRPr="005F7F15">
              <w:rPr>
                <w:rFonts w:cstheme="minorHAnsi"/>
                <w:sz w:val="22"/>
                <w:szCs w:val="22"/>
              </w:rPr>
              <w:t>If the receiving container is made of non-conductive material (i.e., glass or plastic)</w:t>
            </w:r>
            <w:r>
              <w:rPr>
                <w:rFonts w:cstheme="minorHAnsi"/>
                <w:sz w:val="22"/>
                <w:szCs w:val="22"/>
              </w:rPr>
              <w:t xml:space="preserve"> or</w:t>
            </w:r>
            <w:r w:rsidRPr="005F7F15">
              <w:rPr>
                <w:rFonts w:cstheme="minorHAnsi"/>
                <w:sz w:val="22"/>
                <w:szCs w:val="22"/>
              </w:rPr>
              <w:t xml:space="preserve"> does not have a metal connection, then use a metal grounding rod or wire inserted into the receiving container. </w:t>
            </w:r>
          </w:p>
          <w:p w14:paraId="4560189F" w14:textId="77777777" w:rsidR="00A91A87" w:rsidRPr="005F7F15" w:rsidRDefault="00A91A87" w:rsidP="006C6D3C">
            <w:pPr>
              <w:pStyle w:val="BodyText2"/>
              <w:spacing w:before="80" w:after="0" w:line="240" w:lineRule="auto"/>
              <w:ind w:left="360"/>
              <w:rPr>
                <w:rFonts w:cstheme="minorHAnsi"/>
                <w:sz w:val="22"/>
                <w:szCs w:val="22"/>
              </w:rPr>
            </w:pPr>
            <w:r w:rsidRPr="005F7F15">
              <w:rPr>
                <w:rFonts w:cstheme="minorHAnsi"/>
                <w:sz w:val="22"/>
                <w:szCs w:val="22"/>
              </w:rPr>
              <w:t>A grounding rod is an easily cleaned, nonreactive metal rod designed to provide a bonding point for non-metallic containers.</w:t>
            </w:r>
          </w:p>
          <w:p w14:paraId="7F4D19F3" w14:textId="129D6AC6" w:rsidR="00A91A87" w:rsidRDefault="00A91A87" w:rsidP="006C6D3C">
            <w:pPr>
              <w:spacing w:before="80"/>
              <w:ind w:left="360"/>
            </w:pPr>
            <w:r w:rsidRPr="005F7F15">
              <w:rPr>
                <w:rFonts w:cstheme="minorHAnsi"/>
              </w:rPr>
              <w:t>Provide sufficient support for the grounding rod so that it does not</w:t>
            </w:r>
            <w:r>
              <w:rPr>
                <w:rFonts w:cstheme="minorHAnsi"/>
              </w:rPr>
              <w:t xml:space="preserve"> cause the container</w:t>
            </w:r>
            <w:r w:rsidRPr="005F7F15">
              <w:rPr>
                <w:rFonts w:cstheme="minorHAnsi"/>
              </w:rPr>
              <w:t xml:space="preserve"> tip over.</w:t>
            </w:r>
          </w:p>
        </w:tc>
      </w:tr>
      <w:tr w:rsidR="00A91A87" w14:paraId="5293D2F5" w14:textId="77777777" w:rsidTr="006F6934">
        <w:trPr>
          <w:trHeight w:val="1520"/>
        </w:trPr>
        <w:tc>
          <w:tcPr>
            <w:tcW w:w="3055" w:type="dxa"/>
            <w:vMerge/>
          </w:tcPr>
          <w:p w14:paraId="57B284AB" w14:textId="77777777" w:rsidR="00A91A87" w:rsidRDefault="00A91A87" w:rsidP="00910348"/>
        </w:tc>
        <w:tc>
          <w:tcPr>
            <w:tcW w:w="7735" w:type="dxa"/>
          </w:tcPr>
          <w:p w14:paraId="76987A2C" w14:textId="1A0968DD" w:rsidR="00A91A87" w:rsidRDefault="00A91A87" w:rsidP="006C6D3C">
            <w:pPr>
              <w:pStyle w:val="ListParagraph"/>
              <w:numPr>
                <w:ilvl w:val="0"/>
                <w:numId w:val="9"/>
              </w:numPr>
              <w:spacing w:before="80"/>
            </w:pPr>
            <w:r w:rsidRPr="002D6CDB">
              <w:rPr>
                <w:rFonts w:cstheme="minorHAnsi"/>
              </w:rPr>
              <w:t>Connect the bonding cable from the dispensing vessel to the grounding rod directly.</w:t>
            </w:r>
          </w:p>
        </w:tc>
      </w:tr>
      <w:tr w:rsidR="00A91A87" w14:paraId="37739992" w14:textId="77777777" w:rsidTr="006C6D3C">
        <w:tc>
          <w:tcPr>
            <w:tcW w:w="3055" w:type="dxa"/>
            <w:vMerge/>
          </w:tcPr>
          <w:p w14:paraId="0C10ED47" w14:textId="77777777" w:rsidR="00A91A87" w:rsidRDefault="00A91A87" w:rsidP="00910348"/>
        </w:tc>
        <w:tc>
          <w:tcPr>
            <w:tcW w:w="7735" w:type="dxa"/>
            <w:vAlign w:val="center"/>
          </w:tcPr>
          <w:p w14:paraId="006B8255" w14:textId="207730E7" w:rsidR="00A91A87" w:rsidRDefault="002D6CDB" w:rsidP="006C6D3C">
            <w:pPr>
              <w:pStyle w:val="ListParagraph"/>
              <w:numPr>
                <w:ilvl w:val="0"/>
                <w:numId w:val="9"/>
              </w:numPr>
            </w:pPr>
            <w:r w:rsidRPr="002D6CDB">
              <w:rPr>
                <w:rFonts w:cstheme="minorHAnsi"/>
              </w:rPr>
              <w:t>Secondary containment must still be provided during the transfer process.</w:t>
            </w:r>
          </w:p>
        </w:tc>
      </w:tr>
    </w:tbl>
    <w:p w14:paraId="643F55FC" w14:textId="77777777" w:rsidR="00A91A87" w:rsidRPr="006F6934" w:rsidRDefault="00A91A87" w:rsidP="0062475C">
      <w:pPr>
        <w:pStyle w:val="ListParagraph"/>
        <w:spacing w:after="0" w:line="240" w:lineRule="auto"/>
        <w:ind w:left="0"/>
        <w:rPr>
          <w:rFonts w:cstheme="minorHAnsi"/>
          <w:sz w:val="16"/>
          <w:szCs w:val="16"/>
        </w:rPr>
      </w:pPr>
    </w:p>
    <w:p w14:paraId="3D30237A" w14:textId="34134400" w:rsidR="00E61F43" w:rsidRDefault="00A91A87" w:rsidP="0062475C">
      <w:pPr>
        <w:pStyle w:val="ListParagraph"/>
        <w:spacing w:after="80" w:line="240" w:lineRule="auto"/>
        <w:ind w:left="0"/>
      </w:pPr>
      <w:r w:rsidRPr="00E61F43">
        <w:rPr>
          <w:rFonts w:cstheme="minorHAnsi"/>
        </w:rPr>
        <w:t xml:space="preserve">Once </w:t>
      </w:r>
      <w:r>
        <w:rPr>
          <w:rFonts w:cstheme="minorHAnsi"/>
        </w:rPr>
        <w:t xml:space="preserve">containers are </w:t>
      </w:r>
      <w:r w:rsidRPr="00E61F43">
        <w:rPr>
          <w:rFonts w:cstheme="minorHAnsi"/>
        </w:rPr>
        <w:t>properly connected, transfer the liquid slowly to avoid splashing and turbulence which creates more static electricity.</w:t>
      </w:r>
      <w:r w:rsidR="0062475C">
        <w:rPr>
          <w:rFonts w:cstheme="minorHAnsi"/>
        </w:rPr>
        <w:t xml:space="preserve">  </w:t>
      </w:r>
      <w:r w:rsidRPr="005F7F15">
        <w:rPr>
          <w:rFonts w:cstheme="minorHAnsi"/>
        </w:rPr>
        <w:t xml:space="preserve">When </w:t>
      </w:r>
      <w:r>
        <w:rPr>
          <w:rFonts w:cstheme="minorHAnsi"/>
        </w:rPr>
        <w:t xml:space="preserve">transfer is </w:t>
      </w:r>
      <w:r w:rsidRPr="005F7F15">
        <w:rPr>
          <w:rFonts w:cstheme="minorHAnsi"/>
        </w:rPr>
        <w:t>complete, disconnect all bonding and grounding cables and remove the grounding rod if applicable.</w:t>
      </w:r>
    </w:p>
    <w:p w14:paraId="55F58906" w14:textId="17901762" w:rsidR="00A91A87" w:rsidRPr="00D908DF" w:rsidRDefault="00A91A87" w:rsidP="000121A0">
      <w:pPr>
        <w:pStyle w:val="BodyText2"/>
        <w:spacing w:after="80" w:line="240" w:lineRule="auto"/>
        <w:contextualSpacing/>
        <w:rPr>
          <w:rFonts w:cstheme="minorHAnsi"/>
          <w:iCs/>
          <w:sz w:val="22"/>
          <w:szCs w:val="22"/>
        </w:rPr>
      </w:pPr>
      <w:r w:rsidRPr="005F7F15">
        <w:rPr>
          <w:rFonts w:cstheme="minorHAnsi"/>
          <w:sz w:val="22"/>
          <w:szCs w:val="22"/>
        </w:rPr>
        <w:t xml:space="preserve">Further information on grounding and bonding procedures and required equipment </w:t>
      </w:r>
      <w:r w:rsidR="006C6D3C">
        <w:rPr>
          <w:rFonts w:cstheme="minorHAnsi"/>
          <w:sz w:val="22"/>
          <w:szCs w:val="22"/>
        </w:rPr>
        <w:t xml:space="preserve">[grounding and bonding cables, </w:t>
      </w:r>
      <w:r w:rsidRPr="005F7F15">
        <w:rPr>
          <w:rFonts w:cstheme="minorHAnsi"/>
          <w:sz w:val="22"/>
          <w:szCs w:val="22"/>
        </w:rPr>
        <w:t xml:space="preserve">grounding rods, dispensing pumps and metal floor plates (secondary containers)] can be </w:t>
      </w:r>
      <w:r w:rsidRPr="005F7F15">
        <w:rPr>
          <w:rFonts w:cstheme="minorHAnsi"/>
          <w:iCs/>
          <w:sz w:val="22"/>
          <w:szCs w:val="22"/>
        </w:rPr>
        <w:t xml:space="preserve">obtained from different vendors including </w:t>
      </w:r>
      <w:hyperlink r:id="rId17" w:history="1">
        <w:r w:rsidRPr="005F7F15">
          <w:rPr>
            <w:rStyle w:val="Hyperlink"/>
            <w:rFonts w:cstheme="minorHAnsi"/>
            <w:sz w:val="22"/>
            <w:szCs w:val="22"/>
          </w:rPr>
          <w:t>Grainger</w:t>
        </w:r>
      </w:hyperlink>
      <w:r w:rsidRPr="005F7F15">
        <w:rPr>
          <w:rFonts w:cstheme="minorHAnsi"/>
          <w:iCs/>
          <w:sz w:val="22"/>
          <w:szCs w:val="22"/>
        </w:rPr>
        <w:t xml:space="preserve">, </w:t>
      </w:r>
      <w:hyperlink r:id="rId18">
        <w:proofErr w:type="spellStart"/>
        <w:r w:rsidRPr="005F7F15">
          <w:rPr>
            <w:rStyle w:val="Hyperlink"/>
            <w:rFonts w:cstheme="minorHAnsi"/>
            <w:iCs/>
            <w:sz w:val="22"/>
            <w:szCs w:val="22"/>
          </w:rPr>
          <w:t>Justrite</w:t>
        </w:r>
        <w:proofErr w:type="spellEnd"/>
      </w:hyperlink>
      <w:r w:rsidRPr="005F7F15">
        <w:rPr>
          <w:rStyle w:val="Hyperlink"/>
          <w:rFonts w:cstheme="minorHAnsi"/>
          <w:iCs/>
          <w:sz w:val="22"/>
          <w:szCs w:val="22"/>
        </w:rPr>
        <w:t>,</w:t>
      </w:r>
      <w:r w:rsidRPr="005F7F15">
        <w:rPr>
          <w:rFonts w:cstheme="minorHAnsi"/>
          <w:iCs/>
          <w:sz w:val="22"/>
          <w:szCs w:val="22"/>
        </w:rPr>
        <w:t xml:space="preserve"> and </w:t>
      </w:r>
      <w:hyperlink r:id="rId19">
        <w:proofErr w:type="spellStart"/>
        <w:r w:rsidRPr="005F7F15">
          <w:rPr>
            <w:rStyle w:val="Hyperlink"/>
            <w:rFonts w:cstheme="minorHAnsi"/>
            <w:iCs/>
            <w:sz w:val="22"/>
            <w:szCs w:val="22"/>
          </w:rPr>
          <w:t>FisherScientific</w:t>
        </w:r>
        <w:proofErr w:type="spellEnd"/>
      </w:hyperlink>
      <w:r w:rsidRPr="005F7F15">
        <w:rPr>
          <w:rFonts w:cstheme="minorHAnsi"/>
          <w:i/>
          <w:iCs/>
          <w:sz w:val="22"/>
          <w:szCs w:val="22"/>
        </w:rPr>
        <w:t>.</w:t>
      </w:r>
    </w:p>
    <w:p w14:paraId="0FA96135" w14:textId="7E661051" w:rsidR="00A91A87" w:rsidRPr="00910348" w:rsidRDefault="00A91A87" w:rsidP="000121A0">
      <w:pPr>
        <w:spacing w:after="80" w:line="240" w:lineRule="auto"/>
      </w:pPr>
      <w:r w:rsidRPr="002E52C0">
        <w:rPr>
          <w:rFonts w:ascii="Arial" w:eastAsia="Calibri" w:hAnsi="Arial" w:cs="Arial"/>
          <w:b/>
          <w:sz w:val="20"/>
          <w:szCs w:val="20"/>
        </w:rPr>
        <w:t>Reference:</w:t>
      </w:r>
      <w:r w:rsidR="0062475C">
        <w:rPr>
          <w:rFonts w:ascii="Arial" w:eastAsia="Calibri" w:hAnsi="Arial" w:cs="Arial"/>
          <w:b/>
          <w:sz w:val="20"/>
          <w:szCs w:val="20"/>
        </w:rPr>
        <w:t xml:space="preserve"> </w:t>
      </w:r>
      <w:hyperlink r:id="rId20" w:history="1">
        <w:r w:rsidRPr="0062475C">
          <w:rPr>
            <w:rStyle w:val="Hyperlink"/>
          </w:rPr>
          <w:t xml:space="preserve">University of California San Diego </w:t>
        </w:r>
        <w:r w:rsidR="0062475C" w:rsidRPr="0062475C">
          <w:rPr>
            <w:rStyle w:val="Hyperlink"/>
          </w:rPr>
          <w:t>- B</w:t>
        </w:r>
        <w:r w:rsidRPr="0062475C">
          <w:rPr>
            <w:rStyle w:val="Hyperlink"/>
          </w:rPr>
          <w:t>onding and grounding during flammable liquid dispensing.</w:t>
        </w:r>
      </w:hyperlink>
    </w:p>
    <w:sectPr w:rsidR="00A91A87" w:rsidRPr="00910348" w:rsidSect="005F7F15">
      <w:headerReference w:type="default" r:id="rId21"/>
      <w:footerReference w:type="default" r:id="rId22"/>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25F8" w14:textId="77777777" w:rsidR="003F1C4C" w:rsidRDefault="003F1C4C" w:rsidP="00ED523C">
      <w:pPr>
        <w:spacing w:after="0" w:line="240" w:lineRule="auto"/>
      </w:pPr>
      <w:r>
        <w:separator/>
      </w:r>
    </w:p>
  </w:endnote>
  <w:endnote w:type="continuationSeparator" w:id="0">
    <w:p w14:paraId="715E1747" w14:textId="77777777" w:rsidR="003F1C4C" w:rsidRDefault="003F1C4C" w:rsidP="00E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4566" w14:textId="1FF8B681" w:rsidR="00DC1BD4" w:rsidRPr="00AD32E8" w:rsidRDefault="00B23A4D">
    <w:pPr>
      <w:pStyle w:val="Footer"/>
      <w:rPr>
        <w:sz w:val="20"/>
        <w:szCs w:val="20"/>
      </w:rPr>
    </w:pPr>
    <w:r w:rsidRPr="00AD32E8">
      <w:rPr>
        <w:sz w:val="20"/>
        <w:szCs w:val="20"/>
      </w:rPr>
      <w:t>Office of Environmental He</w:t>
    </w:r>
    <w:r w:rsidR="00AD32E8" w:rsidRPr="00AD32E8">
      <w:rPr>
        <w:sz w:val="20"/>
        <w:szCs w:val="20"/>
      </w:rPr>
      <w:t>alth &amp; Safety at (313) 577 1200</w:t>
    </w:r>
    <w:r w:rsidR="0055736D">
      <w:rPr>
        <w:sz w:val="20"/>
        <w:szCs w:val="20"/>
      </w:rPr>
      <w:t xml:space="preserve"> – Revised 5/5/2021</w:t>
    </w:r>
    <w:r w:rsidR="0055736D">
      <w:rPr>
        <w:sz w:val="20"/>
        <w:szCs w:val="20"/>
      </w:rPr>
      <w:tab/>
    </w:r>
    <w:r w:rsidR="00E85119">
      <w:rPr>
        <w:sz w:val="20"/>
        <w:szCs w:val="20"/>
      </w:rPr>
      <w:t>21</w:t>
    </w:r>
    <w:r w:rsidR="0042312C" w:rsidRPr="0042312C">
      <w:rPr>
        <w:sz w:val="20"/>
        <w:szCs w:val="20"/>
      </w:rPr>
      <w:t>-00</w:t>
    </w:r>
    <w:r w:rsidR="00E85119">
      <w:rPr>
        <w:sz w:val="20"/>
        <w:szCs w:val="20"/>
      </w:rPr>
      <w:t>1</w:t>
    </w:r>
    <w:r w:rsidR="0042312C" w:rsidRPr="0042312C">
      <w:rPr>
        <w:sz w:val="20"/>
        <w:szCs w:val="20"/>
      </w:rPr>
      <w:t>F_</w:t>
    </w:r>
    <w:r w:rsidR="004F4187">
      <w:rPr>
        <w:sz w:val="20"/>
        <w:szCs w:val="20"/>
      </w:rPr>
      <w:t>Grounding</w:t>
    </w:r>
    <w:r w:rsidR="00E85119">
      <w:rPr>
        <w:sz w:val="20"/>
        <w:szCs w:val="20"/>
      </w:rPr>
      <w:t>&amp;</w:t>
    </w:r>
    <w:r w:rsidR="004F4187">
      <w:rPr>
        <w:sz w:val="20"/>
        <w:szCs w:val="20"/>
      </w:rPr>
      <w:t>Bonding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9901" w14:textId="77777777" w:rsidR="003F1C4C" w:rsidRDefault="003F1C4C" w:rsidP="00ED523C">
      <w:pPr>
        <w:spacing w:after="0" w:line="240" w:lineRule="auto"/>
      </w:pPr>
      <w:r>
        <w:separator/>
      </w:r>
    </w:p>
  </w:footnote>
  <w:footnote w:type="continuationSeparator" w:id="0">
    <w:p w14:paraId="01393BF5" w14:textId="77777777" w:rsidR="003F1C4C" w:rsidRDefault="003F1C4C" w:rsidP="00ED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D637" w14:textId="4E2F57BB" w:rsidR="00F90D50" w:rsidRPr="0055736D" w:rsidRDefault="0055736D" w:rsidP="0055736D">
    <w:pPr>
      <w:pStyle w:val="Header"/>
      <w:jc w:val="center"/>
    </w:pPr>
    <w:r>
      <w:rPr>
        <w:rFonts w:ascii="Helvetica" w:hAnsi="Helvetica"/>
        <w:noProof/>
        <w:color w:val="0A483F"/>
      </w:rPr>
      <w:drawing>
        <wp:inline distT="0" distB="0" distL="0" distR="0" wp14:anchorId="0FC50C97" wp14:editId="460631F0">
          <wp:extent cx="1428750" cy="333375"/>
          <wp:effectExtent l="0" t="0" r="0" b="9525"/>
          <wp:docPr id="22" name="Picture 22" descr="Wayn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06E22892" wp14:editId="2D3B1207">
          <wp:extent cx="691515" cy="523240"/>
          <wp:effectExtent l="0" t="0" r="0" b="0"/>
          <wp:docPr id="23" name="Picture 23" descr="Office of Envrionmental Health and Safety logo" title="Environmental Health Safet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7246"/>
    <w:multiLevelType w:val="hybridMultilevel"/>
    <w:tmpl w:val="6A6880B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7538C7"/>
    <w:multiLevelType w:val="hybridMultilevel"/>
    <w:tmpl w:val="653A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00168"/>
    <w:multiLevelType w:val="hybridMultilevel"/>
    <w:tmpl w:val="69AC7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F4334"/>
    <w:multiLevelType w:val="hybridMultilevel"/>
    <w:tmpl w:val="A9FCB9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2B7372"/>
    <w:multiLevelType w:val="hybridMultilevel"/>
    <w:tmpl w:val="6F7A2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850CDA"/>
    <w:multiLevelType w:val="hybridMultilevel"/>
    <w:tmpl w:val="C8260AD4"/>
    <w:lvl w:ilvl="0" w:tplc="1E4ED6BE">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72384F"/>
    <w:multiLevelType w:val="hybridMultilevel"/>
    <w:tmpl w:val="F6C0ED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7F36EF"/>
    <w:multiLevelType w:val="hybridMultilevel"/>
    <w:tmpl w:val="4B6A71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D32B0B"/>
    <w:multiLevelType w:val="hybridMultilevel"/>
    <w:tmpl w:val="7FF410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613156">
    <w:abstractNumId w:val="8"/>
  </w:num>
  <w:num w:numId="2" w16cid:durableId="466358167">
    <w:abstractNumId w:val="0"/>
  </w:num>
  <w:num w:numId="3" w16cid:durableId="436221634">
    <w:abstractNumId w:val="6"/>
  </w:num>
  <w:num w:numId="4" w16cid:durableId="1332293103">
    <w:abstractNumId w:val="3"/>
  </w:num>
  <w:num w:numId="5" w16cid:durableId="1334530777">
    <w:abstractNumId w:val="4"/>
  </w:num>
  <w:num w:numId="6" w16cid:durableId="1872257899">
    <w:abstractNumId w:val="7"/>
  </w:num>
  <w:num w:numId="7" w16cid:durableId="1881285182">
    <w:abstractNumId w:val="1"/>
  </w:num>
  <w:num w:numId="8" w16cid:durableId="1114253963">
    <w:abstractNumId w:val="5"/>
  </w:num>
  <w:num w:numId="9" w16cid:durableId="11798520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78"/>
    <w:rsid w:val="00011827"/>
    <w:rsid w:val="000121A0"/>
    <w:rsid w:val="00014DFF"/>
    <w:rsid w:val="0003476B"/>
    <w:rsid w:val="00043E47"/>
    <w:rsid w:val="00062583"/>
    <w:rsid w:val="00063E09"/>
    <w:rsid w:val="00070410"/>
    <w:rsid w:val="000766E4"/>
    <w:rsid w:val="00084259"/>
    <w:rsid w:val="000875ED"/>
    <w:rsid w:val="00087C92"/>
    <w:rsid w:val="000A77DD"/>
    <w:rsid w:val="000C0537"/>
    <w:rsid w:val="000C1B01"/>
    <w:rsid w:val="000D1F11"/>
    <w:rsid w:val="000D240C"/>
    <w:rsid w:val="00121B21"/>
    <w:rsid w:val="00135E4C"/>
    <w:rsid w:val="00146EF8"/>
    <w:rsid w:val="00160568"/>
    <w:rsid w:val="001A41AC"/>
    <w:rsid w:val="001A61BA"/>
    <w:rsid w:val="001B100D"/>
    <w:rsid w:val="001B5986"/>
    <w:rsid w:val="001E0058"/>
    <w:rsid w:val="001E06B2"/>
    <w:rsid w:val="001E12FF"/>
    <w:rsid w:val="0021196A"/>
    <w:rsid w:val="0021263E"/>
    <w:rsid w:val="00216733"/>
    <w:rsid w:val="00217A23"/>
    <w:rsid w:val="002251B8"/>
    <w:rsid w:val="00227308"/>
    <w:rsid w:val="00232A6F"/>
    <w:rsid w:val="00237265"/>
    <w:rsid w:val="00242DCE"/>
    <w:rsid w:val="00244458"/>
    <w:rsid w:val="002602AC"/>
    <w:rsid w:val="00262BA3"/>
    <w:rsid w:val="002726C7"/>
    <w:rsid w:val="002859A7"/>
    <w:rsid w:val="00297E84"/>
    <w:rsid w:val="002B78CF"/>
    <w:rsid w:val="002C0463"/>
    <w:rsid w:val="002D6CDB"/>
    <w:rsid w:val="002E1780"/>
    <w:rsid w:val="002E52C0"/>
    <w:rsid w:val="002F171C"/>
    <w:rsid w:val="003149CB"/>
    <w:rsid w:val="003302B7"/>
    <w:rsid w:val="00357B16"/>
    <w:rsid w:val="003713AC"/>
    <w:rsid w:val="003753E5"/>
    <w:rsid w:val="00375796"/>
    <w:rsid w:val="003979CE"/>
    <w:rsid w:val="003A5F1D"/>
    <w:rsid w:val="003E2B8D"/>
    <w:rsid w:val="003E2FFB"/>
    <w:rsid w:val="003E3840"/>
    <w:rsid w:val="003F1C4C"/>
    <w:rsid w:val="004006BC"/>
    <w:rsid w:val="004078B8"/>
    <w:rsid w:val="0042238B"/>
    <w:rsid w:val="0042312C"/>
    <w:rsid w:val="004266EB"/>
    <w:rsid w:val="00441ACE"/>
    <w:rsid w:val="00445FCD"/>
    <w:rsid w:val="00466817"/>
    <w:rsid w:val="004907D8"/>
    <w:rsid w:val="004C13EF"/>
    <w:rsid w:val="004F3084"/>
    <w:rsid w:val="004F4187"/>
    <w:rsid w:val="004F551E"/>
    <w:rsid w:val="00506ADF"/>
    <w:rsid w:val="00514FDF"/>
    <w:rsid w:val="0052356B"/>
    <w:rsid w:val="005246FB"/>
    <w:rsid w:val="00546536"/>
    <w:rsid w:val="00550366"/>
    <w:rsid w:val="0055736D"/>
    <w:rsid w:val="00565BAD"/>
    <w:rsid w:val="00571FA6"/>
    <w:rsid w:val="00581047"/>
    <w:rsid w:val="0058634B"/>
    <w:rsid w:val="0059009F"/>
    <w:rsid w:val="0059295C"/>
    <w:rsid w:val="005D079C"/>
    <w:rsid w:val="005F7F15"/>
    <w:rsid w:val="006067CC"/>
    <w:rsid w:val="006236EF"/>
    <w:rsid w:val="00624520"/>
    <w:rsid w:val="0062475C"/>
    <w:rsid w:val="00652E0E"/>
    <w:rsid w:val="00665ACC"/>
    <w:rsid w:val="0067141B"/>
    <w:rsid w:val="0067376A"/>
    <w:rsid w:val="006A6097"/>
    <w:rsid w:val="006B730B"/>
    <w:rsid w:val="006C5291"/>
    <w:rsid w:val="006C658A"/>
    <w:rsid w:val="006C6D3C"/>
    <w:rsid w:val="006C79F7"/>
    <w:rsid w:val="006D0F07"/>
    <w:rsid w:val="006D26EA"/>
    <w:rsid w:val="006E6D4A"/>
    <w:rsid w:val="006F6934"/>
    <w:rsid w:val="0070695E"/>
    <w:rsid w:val="007269E6"/>
    <w:rsid w:val="00735C53"/>
    <w:rsid w:val="00743240"/>
    <w:rsid w:val="007574E8"/>
    <w:rsid w:val="00764C51"/>
    <w:rsid w:val="00764FE0"/>
    <w:rsid w:val="007727D5"/>
    <w:rsid w:val="0079196E"/>
    <w:rsid w:val="0079500B"/>
    <w:rsid w:val="007A0C0A"/>
    <w:rsid w:val="007B2E0B"/>
    <w:rsid w:val="007B39A2"/>
    <w:rsid w:val="007C5786"/>
    <w:rsid w:val="007D5445"/>
    <w:rsid w:val="007F0696"/>
    <w:rsid w:val="007F5A70"/>
    <w:rsid w:val="007F7AC5"/>
    <w:rsid w:val="008076BC"/>
    <w:rsid w:val="00811E1B"/>
    <w:rsid w:val="00816D97"/>
    <w:rsid w:val="00821670"/>
    <w:rsid w:val="0082475D"/>
    <w:rsid w:val="00830507"/>
    <w:rsid w:val="008402F2"/>
    <w:rsid w:val="00845D70"/>
    <w:rsid w:val="00846DD7"/>
    <w:rsid w:val="00860917"/>
    <w:rsid w:val="0087297D"/>
    <w:rsid w:val="008731C3"/>
    <w:rsid w:val="00880644"/>
    <w:rsid w:val="008901E7"/>
    <w:rsid w:val="008C614D"/>
    <w:rsid w:val="008E705A"/>
    <w:rsid w:val="008F3F30"/>
    <w:rsid w:val="00910348"/>
    <w:rsid w:val="00911F18"/>
    <w:rsid w:val="00924128"/>
    <w:rsid w:val="00947D06"/>
    <w:rsid w:val="00952C65"/>
    <w:rsid w:val="009650CF"/>
    <w:rsid w:val="0097391A"/>
    <w:rsid w:val="0097641B"/>
    <w:rsid w:val="00986675"/>
    <w:rsid w:val="00992B81"/>
    <w:rsid w:val="009B7138"/>
    <w:rsid w:val="009C7C52"/>
    <w:rsid w:val="009D312A"/>
    <w:rsid w:val="009D38C4"/>
    <w:rsid w:val="009E103D"/>
    <w:rsid w:val="009F10ED"/>
    <w:rsid w:val="009F1981"/>
    <w:rsid w:val="00A073EB"/>
    <w:rsid w:val="00A14586"/>
    <w:rsid w:val="00A170CA"/>
    <w:rsid w:val="00A259AC"/>
    <w:rsid w:val="00A2643C"/>
    <w:rsid w:val="00A5396F"/>
    <w:rsid w:val="00A54193"/>
    <w:rsid w:val="00A679B8"/>
    <w:rsid w:val="00A7224E"/>
    <w:rsid w:val="00A91A87"/>
    <w:rsid w:val="00AA4078"/>
    <w:rsid w:val="00AB6721"/>
    <w:rsid w:val="00AC2B6E"/>
    <w:rsid w:val="00AC3A1F"/>
    <w:rsid w:val="00AD09D0"/>
    <w:rsid w:val="00AD119E"/>
    <w:rsid w:val="00AD32E8"/>
    <w:rsid w:val="00AD4DE3"/>
    <w:rsid w:val="00AD7B70"/>
    <w:rsid w:val="00AF2F5A"/>
    <w:rsid w:val="00B23A4D"/>
    <w:rsid w:val="00B26CE7"/>
    <w:rsid w:val="00B472CC"/>
    <w:rsid w:val="00B53615"/>
    <w:rsid w:val="00B638C0"/>
    <w:rsid w:val="00B642E6"/>
    <w:rsid w:val="00B76518"/>
    <w:rsid w:val="00B768E6"/>
    <w:rsid w:val="00B7733E"/>
    <w:rsid w:val="00B83CFB"/>
    <w:rsid w:val="00BA15F4"/>
    <w:rsid w:val="00BA1651"/>
    <w:rsid w:val="00BD4478"/>
    <w:rsid w:val="00C0209D"/>
    <w:rsid w:val="00C32935"/>
    <w:rsid w:val="00C40599"/>
    <w:rsid w:val="00C43D46"/>
    <w:rsid w:val="00C517FA"/>
    <w:rsid w:val="00C539F4"/>
    <w:rsid w:val="00C542CF"/>
    <w:rsid w:val="00C5651B"/>
    <w:rsid w:val="00C568C9"/>
    <w:rsid w:val="00C5758B"/>
    <w:rsid w:val="00C6462C"/>
    <w:rsid w:val="00C711E0"/>
    <w:rsid w:val="00C74264"/>
    <w:rsid w:val="00C7688B"/>
    <w:rsid w:val="00C80CD6"/>
    <w:rsid w:val="00C9064A"/>
    <w:rsid w:val="00C90F63"/>
    <w:rsid w:val="00C97CBE"/>
    <w:rsid w:val="00CB55EE"/>
    <w:rsid w:val="00CC1171"/>
    <w:rsid w:val="00CC3028"/>
    <w:rsid w:val="00CD5A74"/>
    <w:rsid w:val="00CF430E"/>
    <w:rsid w:val="00D00A6E"/>
    <w:rsid w:val="00D01BE8"/>
    <w:rsid w:val="00D02D12"/>
    <w:rsid w:val="00D0391A"/>
    <w:rsid w:val="00D04670"/>
    <w:rsid w:val="00D10CBF"/>
    <w:rsid w:val="00D268EA"/>
    <w:rsid w:val="00D510FD"/>
    <w:rsid w:val="00D543F4"/>
    <w:rsid w:val="00D71A05"/>
    <w:rsid w:val="00D74615"/>
    <w:rsid w:val="00D801AA"/>
    <w:rsid w:val="00D908DF"/>
    <w:rsid w:val="00DA0071"/>
    <w:rsid w:val="00DA2CD9"/>
    <w:rsid w:val="00DA5981"/>
    <w:rsid w:val="00DA680E"/>
    <w:rsid w:val="00DC1BD4"/>
    <w:rsid w:val="00DD00F6"/>
    <w:rsid w:val="00DD558A"/>
    <w:rsid w:val="00DE7531"/>
    <w:rsid w:val="00DF0395"/>
    <w:rsid w:val="00DF5A74"/>
    <w:rsid w:val="00E15ADE"/>
    <w:rsid w:val="00E5612C"/>
    <w:rsid w:val="00E5696C"/>
    <w:rsid w:val="00E61F43"/>
    <w:rsid w:val="00E7785F"/>
    <w:rsid w:val="00E843F8"/>
    <w:rsid w:val="00E85119"/>
    <w:rsid w:val="00E93FB5"/>
    <w:rsid w:val="00E97B78"/>
    <w:rsid w:val="00EC5BD3"/>
    <w:rsid w:val="00ED1B85"/>
    <w:rsid w:val="00ED523C"/>
    <w:rsid w:val="00ED5378"/>
    <w:rsid w:val="00ED7932"/>
    <w:rsid w:val="00EE097B"/>
    <w:rsid w:val="00EE43B4"/>
    <w:rsid w:val="00F001DA"/>
    <w:rsid w:val="00F21F8E"/>
    <w:rsid w:val="00F27EB5"/>
    <w:rsid w:val="00F761B7"/>
    <w:rsid w:val="00F81BB7"/>
    <w:rsid w:val="00F90D50"/>
    <w:rsid w:val="00FB166B"/>
    <w:rsid w:val="00FB2683"/>
    <w:rsid w:val="00FB345E"/>
    <w:rsid w:val="00FE096E"/>
    <w:rsid w:val="00FF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FC86E"/>
  <w15:docId w15:val="{C8D8E5D0-2598-4B61-8837-031D35F9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378"/>
    <w:rPr>
      <w:color w:val="0000FF"/>
      <w:u w:val="single"/>
    </w:rPr>
  </w:style>
  <w:style w:type="paragraph" w:styleId="ListParagraph">
    <w:name w:val="List Paragraph"/>
    <w:basedOn w:val="Normal"/>
    <w:uiPriority w:val="34"/>
    <w:qFormat/>
    <w:rsid w:val="00ED5378"/>
    <w:pPr>
      <w:ind w:left="720"/>
      <w:contextualSpacing/>
    </w:pPr>
  </w:style>
  <w:style w:type="character" w:styleId="BookTitle">
    <w:name w:val="Book Title"/>
    <w:basedOn w:val="DefaultParagraphFont"/>
    <w:uiPriority w:val="33"/>
    <w:qFormat/>
    <w:rsid w:val="00146EF8"/>
    <w:rPr>
      <w:b/>
      <w:bCs/>
      <w:smallCaps/>
      <w:spacing w:val="5"/>
    </w:rPr>
  </w:style>
  <w:style w:type="paragraph" w:styleId="Header">
    <w:name w:val="header"/>
    <w:basedOn w:val="Normal"/>
    <w:link w:val="HeaderChar"/>
    <w:uiPriority w:val="99"/>
    <w:unhideWhenUsed/>
    <w:rsid w:val="00ED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3C"/>
  </w:style>
  <w:style w:type="paragraph" w:styleId="Footer">
    <w:name w:val="footer"/>
    <w:basedOn w:val="Normal"/>
    <w:link w:val="FooterChar"/>
    <w:uiPriority w:val="99"/>
    <w:unhideWhenUsed/>
    <w:rsid w:val="00ED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3C"/>
  </w:style>
  <w:style w:type="character" w:styleId="FollowedHyperlink">
    <w:name w:val="FollowedHyperlink"/>
    <w:basedOn w:val="DefaultParagraphFont"/>
    <w:uiPriority w:val="99"/>
    <w:semiHidden/>
    <w:unhideWhenUsed/>
    <w:rsid w:val="00BA1651"/>
    <w:rPr>
      <w:color w:val="800080" w:themeColor="followedHyperlink"/>
      <w:u w:val="single"/>
    </w:rPr>
  </w:style>
  <w:style w:type="paragraph" w:styleId="BalloonText">
    <w:name w:val="Balloon Text"/>
    <w:basedOn w:val="Normal"/>
    <w:link w:val="BalloonTextChar"/>
    <w:uiPriority w:val="99"/>
    <w:semiHidden/>
    <w:unhideWhenUsed/>
    <w:rsid w:val="00C9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63"/>
    <w:rPr>
      <w:rFonts w:ascii="Tahoma" w:hAnsi="Tahoma" w:cs="Tahoma"/>
      <w:sz w:val="16"/>
      <w:szCs w:val="16"/>
    </w:rPr>
  </w:style>
  <w:style w:type="character" w:customStyle="1" w:styleId="pshyperlink">
    <w:name w:val="pshyperlink"/>
    <w:basedOn w:val="DefaultParagraphFont"/>
    <w:rsid w:val="00160568"/>
  </w:style>
  <w:style w:type="paragraph" w:styleId="NoSpacing">
    <w:name w:val="No Spacing"/>
    <w:uiPriority w:val="1"/>
    <w:qFormat/>
    <w:rsid w:val="0079500B"/>
    <w:pPr>
      <w:spacing w:after="0" w:line="240" w:lineRule="auto"/>
    </w:pPr>
  </w:style>
  <w:style w:type="character" w:styleId="CommentReference">
    <w:name w:val="annotation reference"/>
    <w:basedOn w:val="DefaultParagraphFont"/>
    <w:uiPriority w:val="99"/>
    <w:semiHidden/>
    <w:unhideWhenUsed/>
    <w:rsid w:val="00445FCD"/>
    <w:rPr>
      <w:sz w:val="16"/>
      <w:szCs w:val="16"/>
    </w:rPr>
  </w:style>
  <w:style w:type="paragraph" w:styleId="CommentText">
    <w:name w:val="annotation text"/>
    <w:basedOn w:val="Normal"/>
    <w:link w:val="CommentTextChar"/>
    <w:uiPriority w:val="99"/>
    <w:semiHidden/>
    <w:unhideWhenUsed/>
    <w:rsid w:val="00445FCD"/>
    <w:pPr>
      <w:spacing w:line="240" w:lineRule="auto"/>
    </w:pPr>
    <w:rPr>
      <w:sz w:val="20"/>
      <w:szCs w:val="20"/>
    </w:rPr>
  </w:style>
  <w:style w:type="character" w:customStyle="1" w:styleId="CommentTextChar">
    <w:name w:val="Comment Text Char"/>
    <w:basedOn w:val="DefaultParagraphFont"/>
    <w:link w:val="CommentText"/>
    <w:uiPriority w:val="99"/>
    <w:semiHidden/>
    <w:rsid w:val="00445FCD"/>
    <w:rPr>
      <w:sz w:val="20"/>
      <w:szCs w:val="20"/>
    </w:rPr>
  </w:style>
  <w:style w:type="paragraph" w:styleId="CommentSubject">
    <w:name w:val="annotation subject"/>
    <w:basedOn w:val="CommentText"/>
    <w:next w:val="CommentText"/>
    <w:link w:val="CommentSubjectChar"/>
    <w:uiPriority w:val="99"/>
    <w:semiHidden/>
    <w:unhideWhenUsed/>
    <w:rsid w:val="00445FCD"/>
    <w:rPr>
      <w:b/>
      <w:bCs/>
    </w:rPr>
  </w:style>
  <w:style w:type="character" w:customStyle="1" w:styleId="CommentSubjectChar">
    <w:name w:val="Comment Subject Char"/>
    <w:basedOn w:val="CommentTextChar"/>
    <w:link w:val="CommentSubject"/>
    <w:uiPriority w:val="99"/>
    <w:semiHidden/>
    <w:rsid w:val="00445FCD"/>
    <w:rPr>
      <w:b/>
      <w:bCs/>
      <w:sz w:val="20"/>
      <w:szCs w:val="20"/>
    </w:rPr>
  </w:style>
  <w:style w:type="paragraph" w:styleId="Revision">
    <w:name w:val="Revision"/>
    <w:hidden/>
    <w:uiPriority w:val="99"/>
    <w:semiHidden/>
    <w:rsid w:val="00AF2F5A"/>
    <w:pPr>
      <w:spacing w:after="0" w:line="240" w:lineRule="auto"/>
    </w:pPr>
  </w:style>
  <w:style w:type="character" w:styleId="IntenseReference">
    <w:name w:val="Intense Reference"/>
    <w:basedOn w:val="DefaultParagraphFont"/>
    <w:uiPriority w:val="32"/>
    <w:qFormat/>
    <w:rsid w:val="00FF35B5"/>
    <w:rPr>
      <w:b/>
      <w:bCs/>
      <w:smallCaps/>
      <w:color w:val="C0504D" w:themeColor="accent2"/>
      <w:spacing w:val="5"/>
      <w:u w:val="single"/>
    </w:rPr>
  </w:style>
  <w:style w:type="character" w:customStyle="1" w:styleId="Heading1Char">
    <w:name w:val="Heading 1 Char"/>
    <w:basedOn w:val="DefaultParagraphFont"/>
    <w:link w:val="Heading1"/>
    <w:uiPriority w:val="9"/>
    <w:rsid w:val="00FF35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F7F15"/>
    <w:pPr>
      <w:spacing w:after="160" w:line="259" w:lineRule="auto"/>
      <w:jc w:val="center"/>
    </w:pPr>
    <w:rPr>
      <w:b/>
      <w:sz w:val="28"/>
      <w:szCs w:val="28"/>
    </w:rPr>
  </w:style>
  <w:style w:type="character" w:customStyle="1" w:styleId="TitleChar">
    <w:name w:val="Title Char"/>
    <w:basedOn w:val="DefaultParagraphFont"/>
    <w:link w:val="Title"/>
    <w:uiPriority w:val="10"/>
    <w:rsid w:val="005F7F15"/>
    <w:rPr>
      <w:b/>
      <w:sz w:val="28"/>
      <w:szCs w:val="28"/>
    </w:rPr>
  </w:style>
  <w:style w:type="paragraph" w:styleId="BodyText2">
    <w:name w:val="Body Text 2"/>
    <w:basedOn w:val="Normal"/>
    <w:link w:val="BodyText2Char"/>
    <w:uiPriority w:val="99"/>
    <w:unhideWhenUsed/>
    <w:rsid w:val="005F7F15"/>
    <w:pPr>
      <w:spacing w:after="160" w:line="259" w:lineRule="auto"/>
    </w:pPr>
    <w:rPr>
      <w:sz w:val="28"/>
      <w:szCs w:val="28"/>
    </w:rPr>
  </w:style>
  <w:style w:type="character" w:customStyle="1" w:styleId="BodyText2Char">
    <w:name w:val="Body Text 2 Char"/>
    <w:basedOn w:val="DefaultParagraphFont"/>
    <w:link w:val="BodyText2"/>
    <w:uiPriority w:val="99"/>
    <w:rsid w:val="005F7F15"/>
    <w:rPr>
      <w:sz w:val="28"/>
      <w:szCs w:val="28"/>
    </w:rPr>
  </w:style>
  <w:style w:type="table" w:styleId="TableGrid">
    <w:name w:val="Table Grid"/>
    <w:basedOn w:val="TableNormal"/>
    <w:uiPriority w:val="39"/>
    <w:rsid w:val="005F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justrite.com/catalogsearch/result/?q=bond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rainger.com/category/electrical/wire-cable/bonding-grounding-wire-accessories?ef_id=Cj0KCQiAyJOBBhDCARIsAJG2h5d94-R9mCZDGO0SBRjWFMP7sH08y8b6rQ15B0g2acyaiB2p_EhVGIUaAuZYEALw_wcB:G:s&amp;s_kwcid=AL!2966!3!317451745614!b!!g!!&amp;gucid=N:N:PS:Paid:GGL:CSM-2296:9JMEDM:20500731&amp;gclsrc=aw.ds&amp;&amp;gclid=Cj0KCQiAyJOBBhDCARIsAJG2h5d94-R9mCZDGO0SBRjWFMP7sH08y8b6rQ15B0g2acyaiB2p_EhVGIUaAuZYEALw_wcB%20"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blink.ucsd.edu/safety/research-lab/chemical/liquids/storag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fishersci.com/shop/products/wire-5ft-bonding-and-gr-1ea/50153136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illiam.kemp@wayne.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A51C-6B28-4265-9DC9-7DB4BE87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Grounding and bonding for transfer of flammable liquids</dc:title>
  <dc:creator>Pearson, Richard John</dc:creator>
  <cp:lastModifiedBy>Linda Ritter</cp:lastModifiedBy>
  <cp:revision>14</cp:revision>
  <cp:lastPrinted>2013-07-08T17:10:00Z</cp:lastPrinted>
  <dcterms:created xsi:type="dcterms:W3CDTF">2021-05-06T14:53:00Z</dcterms:created>
  <dcterms:modified xsi:type="dcterms:W3CDTF">2023-10-19T13:45:00Z</dcterms:modified>
</cp:coreProperties>
</file>