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D60B" w14:textId="77777777" w:rsidR="000C1B01" w:rsidRPr="00E63A6F" w:rsidRDefault="001A41AC" w:rsidP="00E63A6F">
      <w:pPr>
        <w:spacing w:after="0" w:line="240" w:lineRule="auto"/>
        <w:contextualSpacing/>
        <w:jc w:val="center"/>
        <w:rPr>
          <w:rStyle w:val="BookTitle"/>
          <w:sz w:val="48"/>
          <w:szCs w:val="48"/>
        </w:rPr>
      </w:pPr>
      <w:r w:rsidRPr="00E63A6F">
        <w:rPr>
          <w:rStyle w:val="BookTitle"/>
          <w:sz w:val="48"/>
          <w:szCs w:val="48"/>
        </w:rPr>
        <w:t xml:space="preserve">Use of </w:t>
      </w:r>
      <w:r w:rsidR="00445FCD" w:rsidRPr="00E63A6F">
        <w:rPr>
          <w:rStyle w:val="BookTitle"/>
          <w:sz w:val="48"/>
          <w:szCs w:val="48"/>
        </w:rPr>
        <w:t xml:space="preserve">Natural </w:t>
      </w:r>
      <w:r w:rsidRPr="00E63A6F">
        <w:rPr>
          <w:rStyle w:val="BookTitle"/>
          <w:sz w:val="48"/>
          <w:szCs w:val="48"/>
        </w:rPr>
        <w:t>Gas in Biosafety Cabinets</w:t>
      </w:r>
    </w:p>
    <w:p w14:paraId="3D80257C" w14:textId="77777777" w:rsidR="00ED5378" w:rsidRPr="00E63A6F" w:rsidRDefault="00146EF8" w:rsidP="00E63A6F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A6F">
        <w:rPr>
          <w:rStyle w:val="BookTitle"/>
          <w:sz w:val="24"/>
          <w:szCs w:val="24"/>
        </w:rPr>
        <w:t>Introduction</w:t>
      </w:r>
      <w:r w:rsidR="00ED5378" w:rsidRPr="00E63A6F">
        <w:rPr>
          <w:rFonts w:ascii="Arial" w:hAnsi="Arial" w:cs="Arial"/>
          <w:b/>
          <w:sz w:val="24"/>
          <w:szCs w:val="24"/>
        </w:rPr>
        <w:t xml:space="preserve">: </w:t>
      </w:r>
    </w:p>
    <w:p w14:paraId="782AD671" w14:textId="77777777" w:rsidR="00146EF8" w:rsidRPr="00E63A6F" w:rsidRDefault="00345DE4" w:rsidP="00E63A6F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E63A6F">
        <w:rPr>
          <w:rFonts w:ascii="Arial" w:eastAsia="Times New Roman" w:hAnsi="Arial" w:cs="Arial"/>
          <w:noProof/>
          <w:sz w:val="24"/>
          <w:szCs w:val="24"/>
        </w:rPr>
        <w:t xml:space="preserve">The Wayne State University Biosafety Program actively discourages the use of open flames and natural gas in Biosafety Cabinets (BSCs).  </w:t>
      </w:r>
      <w:r w:rsidR="00C517FA" w:rsidRPr="00E63A6F">
        <w:rPr>
          <w:rFonts w:ascii="Arial" w:eastAsia="Times New Roman" w:hAnsi="Arial" w:cs="Arial"/>
          <w:noProof/>
          <w:sz w:val="24"/>
          <w:szCs w:val="24"/>
        </w:rPr>
        <w:t xml:space="preserve">BSCs </w:t>
      </w:r>
      <w:r w:rsidR="00D02D12" w:rsidRPr="00E63A6F">
        <w:rPr>
          <w:rFonts w:ascii="Arial" w:eastAsia="Times New Roman" w:hAnsi="Arial" w:cs="Arial"/>
          <w:noProof/>
          <w:sz w:val="24"/>
          <w:szCs w:val="24"/>
        </w:rPr>
        <w:t>provide a near-sterile work environment</w:t>
      </w:r>
      <w:r w:rsidR="00244458" w:rsidRPr="00E63A6F">
        <w:rPr>
          <w:rFonts w:ascii="Arial" w:eastAsia="Times New Roman" w:hAnsi="Arial" w:cs="Arial"/>
          <w:noProof/>
          <w:sz w:val="24"/>
          <w:szCs w:val="24"/>
        </w:rPr>
        <w:t xml:space="preserve"> through the </w:t>
      </w:r>
      <w:r w:rsidR="00D02D12" w:rsidRPr="00E63A6F">
        <w:rPr>
          <w:rFonts w:ascii="Arial" w:eastAsia="Times New Roman" w:hAnsi="Arial" w:cs="Arial"/>
          <w:noProof/>
          <w:sz w:val="24"/>
          <w:szCs w:val="24"/>
        </w:rPr>
        <w:t>laminar</w:t>
      </w:r>
      <w:r w:rsidR="00244458" w:rsidRPr="00E63A6F">
        <w:rPr>
          <w:rFonts w:ascii="Arial" w:eastAsia="Times New Roman" w:hAnsi="Arial" w:cs="Arial"/>
          <w:noProof/>
          <w:sz w:val="24"/>
          <w:szCs w:val="24"/>
        </w:rPr>
        <w:t xml:space="preserve"> flow of </w:t>
      </w:r>
      <w:r w:rsidR="00D02D12" w:rsidRPr="00E63A6F">
        <w:rPr>
          <w:rFonts w:ascii="Arial" w:eastAsia="Times New Roman" w:hAnsi="Arial" w:cs="Arial"/>
          <w:noProof/>
          <w:sz w:val="24"/>
          <w:szCs w:val="24"/>
        </w:rPr>
        <w:t xml:space="preserve">HEPA filtered </w:t>
      </w:r>
      <w:r w:rsidR="00244458" w:rsidRPr="00E63A6F">
        <w:rPr>
          <w:rFonts w:ascii="Arial" w:eastAsia="Times New Roman" w:hAnsi="Arial" w:cs="Arial"/>
          <w:noProof/>
          <w:sz w:val="24"/>
          <w:szCs w:val="24"/>
        </w:rPr>
        <w:t xml:space="preserve">air over the interior work </w:t>
      </w:r>
      <w:r w:rsidR="00C517FA" w:rsidRPr="00E63A6F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244458" w:rsidRPr="00E63A6F">
        <w:rPr>
          <w:rFonts w:ascii="Arial" w:eastAsia="Times New Roman" w:hAnsi="Arial" w:cs="Arial"/>
          <w:noProof/>
          <w:sz w:val="24"/>
          <w:szCs w:val="24"/>
        </w:rPr>
        <w:t>surface.  The introduction of an open flame into this environmen</w:t>
      </w:r>
      <w:r w:rsidR="00D02D12" w:rsidRPr="00E63A6F">
        <w:rPr>
          <w:rFonts w:ascii="Arial" w:eastAsia="Times New Roman" w:hAnsi="Arial" w:cs="Arial"/>
          <w:noProof/>
          <w:sz w:val="24"/>
          <w:szCs w:val="24"/>
        </w:rPr>
        <w:t xml:space="preserve">t disrupts the laminar air flow, which </w:t>
      </w:r>
      <w:r w:rsidR="00244458" w:rsidRPr="00E63A6F">
        <w:rPr>
          <w:rFonts w:ascii="Arial" w:eastAsia="Times New Roman" w:hAnsi="Arial" w:cs="Arial"/>
          <w:noProof/>
          <w:sz w:val="24"/>
          <w:szCs w:val="24"/>
        </w:rPr>
        <w:t>compromises protection to the worker and the sterility of the product.  In addition, the use of na</w:t>
      </w:r>
      <w:r w:rsidR="003753E5" w:rsidRPr="00E63A6F">
        <w:rPr>
          <w:rFonts w:ascii="Arial" w:eastAsia="Times New Roman" w:hAnsi="Arial" w:cs="Arial"/>
          <w:noProof/>
          <w:sz w:val="24"/>
          <w:szCs w:val="24"/>
        </w:rPr>
        <w:t>tural gas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>/open flames</w:t>
      </w:r>
      <w:r w:rsidR="003753E5" w:rsidRPr="00E63A6F">
        <w:rPr>
          <w:rFonts w:ascii="Arial" w:eastAsia="Times New Roman" w:hAnsi="Arial" w:cs="Arial"/>
          <w:noProof/>
          <w:sz w:val="24"/>
          <w:szCs w:val="24"/>
        </w:rPr>
        <w:t xml:space="preserve"> in this environment has resulted in a number of accidents in academic research institutions.  </w:t>
      </w:r>
      <w:r w:rsidRPr="00E63A6F">
        <w:rPr>
          <w:rFonts w:ascii="Arial" w:eastAsia="Times New Roman" w:hAnsi="Arial" w:cs="Arial"/>
          <w:noProof/>
          <w:sz w:val="24"/>
          <w:szCs w:val="24"/>
        </w:rPr>
        <w:t>If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 xml:space="preserve"> such equipment is </w:t>
      </w:r>
      <w:r w:rsidRPr="00E63A6F">
        <w:rPr>
          <w:rFonts w:ascii="Arial" w:eastAsia="Times New Roman" w:hAnsi="Arial" w:cs="Arial"/>
          <w:noProof/>
          <w:sz w:val="24"/>
          <w:szCs w:val="24"/>
        </w:rPr>
        <w:t xml:space="preserve">deemed 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 xml:space="preserve">essential </w:t>
      </w:r>
      <w:r w:rsidR="003753E5" w:rsidRPr="00E63A6F">
        <w:rPr>
          <w:rFonts w:ascii="Arial" w:eastAsia="Times New Roman" w:hAnsi="Arial" w:cs="Arial"/>
          <w:noProof/>
          <w:sz w:val="24"/>
          <w:szCs w:val="24"/>
        </w:rPr>
        <w:t xml:space="preserve">to research activities, then Principal Investigators are 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>responsib</w:t>
      </w:r>
      <w:r w:rsidR="006E6D4A" w:rsidRPr="00E63A6F">
        <w:rPr>
          <w:rFonts w:ascii="Arial" w:eastAsia="Times New Roman" w:hAnsi="Arial" w:cs="Arial"/>
          <w:noProof/>
          <w:sz w:val="24"/>
          <w:szCs w:val="24"/>
        </w:rPr>
        <w:t>l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>e for</w:t>
      </w:r>
      <w:r w:rsidR="003753E5" w:rsidRPr="00E63A6F">
        <w:rPr>
          <w:rFonts w:ascii="Arial" w:eastAsia="Times New Roman" w:hAnsi="Arial" w:cs="Arial"/>
          <w:noProof/>
          <w:sz w:val="24"/>
          <w:szCs w:val="24"/>
        </w:rPr>
        <w:t xml:space="preserve"> review</w:t>
      </w:r>
      <w:r w:rsidR="00445FCD" w:rsidRPr="00E63A6F">
        <w:rPr>
          <w:rFonts w:ascii="Arial" w:eastAsia="Times New Roman" w:hAnsi="Arial" w:cs="Arial"/>
          <w:noProof/>
          <w:sz w:val="24"/>
          <w:szCs w:val="24"/>
        </w:rPr>
        <w:t>ing</w:t>
      </w:r>
      <w:r w:rsidR="00D02D12" w:rsidRPr="00E63A6F">
        <w:rPr>
          <w:rFonts w:ascii="Arial" w:eastAsia="Times New Roman" w:hAnsi="Arial" w:cs="Arial"/>
          <w:noProof/>
          <w:sz w:val="24"/>
          <w:szCs w:val="24"/>
        </w:rPr>
        <w:t xml:space="preserve"> such practices and taking </w:t>
      </w:r>
      <w:r w:rsidR="003753E5" w:rsidRPr="00E63A6F">
        <w:rPr>
          <w:rFonts w:ascii="Arial" w:eastAsia="Times New Roman" w:hAnsi="Arial" w:cs="Arial"/>
          <w:noProof/>
          <w:sz w:val="24"/>
          <w:szCs w:val="24"/>
        </w:rPr>
        <w:t>steps to mitigate the risks involved.</w:t>
      </w:r>
    </w:p>
    <w:p w14:paraId="097DCEE2" w14:textId="77777777" w:rsidR="00ED5378" w:rsidRPr="00E63A6F" w:rsidRDefault="001A41AC" w:rsidP="00E63A6F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A6F">
        <w:rPr>
          <w:rStyle w:val="BookTitle"/>
          <w:sz w:val="24"/>
          <w:szCs w:val="24"/>
        </w:rPr>
        <w:t>Risks:</w:t>
      </w:r>
    </w:p>
    <w:p w14:paraId="3A76797C" w14:textId="77777777" w:rsidR="00E7785F" w:rsidRPr="00E63A6F" w:rsidRDefault="003753E5" w:rsidP="00E63A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Open flames</w:t>
      </w:r>
      <w:r w:rsidR="00E7785F" w:rsidRPr="00E63A6F">
        <w:rPr>
          <w:rFonts w:ascii="Arial" w:eastAsia="Times New Roman" w:hAnsi="Arial" w:cs="Arial"/>
          <w:bCs/>
          <w:sz w:val="24"/>
          <w:szCs w:val="24"/>
        </w:rPr>
        <w:t xml:space="preserve"> and excessive heat can:</w:t>
      </w:r>
      <w:r w:rsidRPr="00E63A6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E1F6B87" w14:textId="77777777" w:rsidR="003753E5" w:rsidRPr="00E63A6F" w:rsidRDefault="003753E5" w:rsidP="00E63A6F">
      <w:pPr>
        <w:pStyle w:val="ListParagraph"/>
        <w:numPr>
          <w:ilvl w:val="0"/>
          <w:numId w:val="33"/>
        </w:numPr>
        <w:spacing w:after="0" w:line="240" w:lineRule="auto"/>
        <w:ind w:left="540" w:hanging="27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disrupt airflow</w:t>
      </w:r>
      <w:r w:rsidR="00E7785F" w:rsidRPr="00E63A6F">
        <w:rPr>
          <w:rFonts w:ascii="Arial" w:eastAsia="Times New Roman" w:hAnsi="Arial" w:cs="Arial"/>
          <w:bCs/>
          <w:sz w:val="24"/>
          <w:szCs w:val="24"/>
        </w:rPr>
        <w:t>,</w:t>
      </w:r>
      <w:r w:rsidRPr="00E63A6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785F" w:rsidRPr="00E63A6F">
        <w:rPr>
          <w:rFonts w:ascii="Arial" w:eastAsia="Times New Roman" w:hAnsi="Arial" w:cs="Arial"/>
          <w:bCs/>
          <w:sz w:val="24"/>
          <w:szCs w:val="24"/>
        </w:rPr>
        <w:t>resulting in</w:t>
      </w:r>
      <w:r w:rsidRPr="00E63A6F">
        <w:rPr>
          <w:rFonts w:ascii="Arial" w:eastAsia="Times New Roman" w:hAnsi="Arial" w:cs="Arial"/>
          <w:bCs/>
          <w:sz w:val="24"/>
          <w:szCs w:val="24"/>
        </w:rPr>
        <w:t>:</w:t>
      </w:r>
    </w:p>
    <w:p w14:paraId="466CFFF2" w14:textId="77777777" w:rsidR="00CC3028" w:rsidRPr="00E63A6F" w:rsidRDefault="00CC3028" w:rsidP="00E63A6F">
      <w:pPr>
        <w:pStyle w:val="ListParagraph"/>
        <w:numPr>
          <w:ilvl w:val="1"/>
          <w:numId w:val="27"/>
        </w:numPr>
        <w:spacing w:after="0" w:line="240" w:lineRule="auto"/>
        <w:ind w:left="900" w:hanging="1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increased exposure risk to the researcher</w:t>
      </w:r>
    </w:p>
    <w:p w14:paraId="5EA3C1F3" w14:textId="77777777" w:rsidR="006067CC" w:rsidRPr="00E63A6F" w:rsidRDefault="003753E5" w:rsidP="00E63A6F">
      <w:pPr>
        <w:pStyle w:val="ListParagraph"/>
        <w:numPr>
          <w:ilvl w:val="1"/>
          <w:numId w:val="27"/>
        </w:numPr>
        <w:spacing w:after="0" w:line="240" w:lineRule="auto"/>
        <w:ind w:left="900" w:hanging="1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increased potential for product contamination</w:t>
      </w:r>
    </w:p>
    <w:p w14:paraId="4B547BB7" w14:textId="77777777" w:rsidR="003753E5" w:rsidRPr="00E63A6F" w:rsidRDefault="003753E5" w:rsidP="00E63A6F">
      <w:pPr>
        <w:pStyle w:val="ListParagraph"/>
        <w:numPr>
          <w:ilvl w:val="1"/>
          <w:numId w:val="27"/>
        </w:numPr>
        <w:tabs>
          <w:tab w:val="left" w:pos="540"/>
        </w:tabs>
        <w:spacing w:after="0" w:line="240" w:lineRule="auto"/>
        <w:ind w:left="720" w:hanging="45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damage H</w:t>
      </w:r>
      <w:r w:rsidR="0003476B" w:rsidRPr="00E63A6F">
        <w:rPr>
          <w:rFonts w:ascii="Arial" w:eastAsia="Times New Roman" w:hAnsi="Arial" w:cs="Arial"/>
          <w:bCs/>
          <w:sz w:val="24"/>
          <w:szCs w:val="24"/>
        </w:rPr>
        <w:t>EPA</w:t>
      </w:r>
      <w:r w:rsidRPr="00E63A6F">
        <w:rPr>
          <w:rFonts w:ascii="Arial" w:eastAsia="Times New Roman" w:hAnsi="Arial" w:cs="Arial"/>
          <w:bCs/>
          <w:sz w:val="24"/>
          <w:szCs w:val="24"/>
        </w:rPr>
        <w:t xml:space="preserve"> filters</w:t>
      </w:r>
      <w:r w:rsidR="00E7785F" w:rsidRPr="00E63A6F">
        <w:rPr>
          <w:rFonts w:ascii="Arial" w:eastAsia="Times New Roman" w:hAnsi="Arial" w:cs="Arial"/>
          <w:bCs/>
          <w:sz w:val="24"/>
          <w:szCs w:val="24"/>
        </w:rPr>
        <w:t xml:space="preserve">, or melt the adhesive </w:t>
      </w:r>
      <w:r w:rsidR="00CC3028" w:rsidRPr="00E63A6F">
        <w:rPr>
          <w:rFonts w:ascii="Arial" w:eastAsia="Times New Roman" w:hAnsi="Arial" w:cs="Arial"/>
          <w:bCs/>
          <w:sz w:val="24"/>
          <w:szCs w:val="24"/>
        </w:rPr>
        <w:t xml:space="preserve">sealing </w:t>
      </w:r>
      <w:r w:rsidR="00E7785F" w:rsidRPr="00E63A6F">
        <w:rPr>
          <w:rFonts w:ascii="Arial" w:eastAsia="Times New Roman" w:hAnsi="Arial" w:cs="Arial"/>
          <w:bCs/>
          <w:sz w:val="24"/>
          <w:szCs w:val="24"/>
        </w:rPr>
        <w:t xml:space="preserve">the filter in place, leading to </w:t>
      </w:r>
      <w:r w:rsidRPr="00E63A6F">
        <w:rPr>
          <w:rFonts w:ascii="Arial" w:eastAsia="Times New Roman" w:hAnsi="Arial" w:cs="Arial"/>
          <w:bCs/>
          <w:sz w:val="24"/>
          <w:szCs w:val="24"/>
        </w:rPr>
        <w:t>loss of BSC integrity</w:t>
      </w:r>
      <w:r w:rsidR="008E705A" w:rsidRPr="00E63A6F">
        <w:rPr>
          <w:rFonts w:ascii="Arial" w:eastAsia="Times New Roman" w:hAnsi="Arial" w:cs="Arial"/>
          <w:bCs/>
          <w:sz w:val="24"/>
          <w:szCs w:val="24"/>
        </w:rPr>
        <w:t xml:space="preserve"> and expensive repairs</w:t>
      </w:r>
    </w:p>
    <w:p w14:paraId="031AFFAA" w14:textId="77777777" w:rsidR="00043E47" w:rsidRPr="00E63A6F" w:rsidRDefault="00E7785F" w:rsidP="00E63A6F">
      <w:pPr>
        <w:pStyle w:val="ListParagraph"/>
        <w:numPr>
          <w:ilvl w:val="1"/>
          <w:numId w:val="27"/>
        </w:numPr>
        <w:tabs>
          <w:tab w:val="left" w:pos="540"/>
        </w:tabs>
        <w:spacing w:after="0" w:line="240" w:lineRule="auto"/>
        <w:ind w:left="720" w:hanging="45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degrade</w:t>
      </w:r>
      <w:r w:rsidR="00043E47" w:rsidRPr="00E63A6F">
        <w:rPr>
          <w:rFonts w:ascii="Arial" w:eastAsia="Times New Roman" w:hAnsi="Arial" w:cs="Arial"/>
          <w:bCs/>
          <w:sz w:val="24"/>
          <w:szCs w:val="24"/>
        </w:rPr>
        <w:t xml:space="preserve"> reagents</w:t>
      </w:r>
    </w:p>
    <w:p w14:paraId="3DCECA9D" w14:textId="77777777" w:rsidR="00043E47" w:rsidRPr="00E63A6F" w:rsidRDefault="00E7785F" w:rsidP="00E63A6F">
      <w:pPr>
        <w:pStyle w:val="ListParagraph"/>
        <w:numPr>
          <w:ilvl w:val="1"/>
          <w:numId w:val="27"/>
        </w:numPr>
        <w:tabs>
          <w:tab w:val="left" w:pos="540"/>
        </w:tabs>
        <w:spacing w:after="0" w:line="240" w:lineRule="auto"/>
        <w:ind w:left="720" w:hanging="45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>reduce</w:t>
      </w:r>
      <w:r w:rsidR="003753E5" w:rsidRPr="00E63A6F">
        <w:rPr>
          <w:rFonts w:ascii="Arial" w:eastAsia="Times New Roman" w:hAnsi="Arial" w:cs="Arial"/>
          <w:bCs/>
          <w:sz w:val="24"/>
          <w:szCs w:val="24"/>
        </w:rPr>
        <w:t xml:space="preserve"> viability of agents/c</w:t>
      </w:r>
      <w:r w:rsidR="00043E47" w:rsidRPr="00E63A6F">
        <w:rPr>
          <w:rFonts w:ascii="Arial" w:eastAsia="Times New Roman" w:hAnsi="Arial" w:cs="Arial"/>
          <w:bCs/>
          <w:sz w:val="24"/>
          <w:szCs w:val="24"/>
        </w:rPr>
        <w:t>ell lines</w:t>
      </w:r>
    </w:p>
    <w:p w14:paraId="413FC92C" w14:textId="77777777" w:rsidR="00043E47" w:rsidRPr="00E63A6F" w:rsidRDefault="00E7785F" w:rsidP="00E63A6F">
      <w:pPr>
        <w:pStyle w:val="ListParagraph"/>
        <w:numPr>
          <w:ilvl w:val="1"/>
          <w:numId w:val="27"/>
        </w:numPr>
        <w:tabs>
          <w:tab w:val="left" w:pos="540"/>
        </w:tabs>
        <w:spacing w:after="0" w:line="240" w:lineRule="auto"/>
        <w:ind w:left="720" w:hanging="450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 xml:space="preserve">create an </w:t>
      </w:r>
      <w:r w:rsidR="00043E47" w:rsidRPr="00E63A6F">
        <w:rPr>
          <w:rFonts w:ascii="Arial" w:eastAsia="Times New Roman" w:hAnsi="Arial" w:cs="Arial"/>
          <w:bCs/>
          <w:sz w:val="24"/>
          <w:szCs w:val="24"/>
        </w:rPr>
        <w:t xml:space="preserve">uncomfortable </w:t>
      </w:r>
      <w:r w:rsidRPr="00E63A6F">
        <w:rPr>
          <w:rFonts w:ascii="Arial" w:eastAsia="Times New Roman" w:hAnsi="Arial" w:cs="Arial"/>
          <w:bCs/>
          <w:sz w:val="24"/>
          <w:szCs w:val="24"/>
        </w:rPr>
        <w:t xml:space="preserve">work environment </w:t>
      </w:r>
    </w:p>
    <w:p w14:paraId="47156930" w14:textId="77777777" w:rsidR="00043E47" w:rsidRPr="00E63A6F" w:rsidRDefault="00E7785F" w:rsidP="00E63A6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63A6F">
        <w:rPr>
          <w:rFonts w:ascii="Arial" w:eastAsia="Times New Roman" w:hAnsi="Arial" w:cs="Arial"/>
          <w:bCs/>
          <w:sz w:val="24"/>
          <w:szCs w:val="24"/>
        </w:rPr>
        <w:t xml:space="preserve">Use of natural </w:t>
      </w:r>
      <w:r w:rsidR="00D02D12" w:rsidRPr="00E63A6F">
        <w:rPr>
          <w:rFonts w:ascii="Arial" w:eastAsia="Times New Roman" w:hAnsi="Arial" w:cs="Arial"/>
          <w:bCs/>
          <w:sz w:val="24"/>
          <w:szCs w:val="24"/>
        </w:rPr>
        <w:t>g</w:t>
      </w:r>
      <w:r w:rsidR="00043E47" w:rsidRPr="00E63A6F">
        <w:rPr>
          <w:rFonts w:ascii="Arial" w:eastAsia="Times New Roman" w:hAnsi="Arial" w:cs="Arial"/>
          <w:bCs/>
          <w:sz w:val="24"/>
          <w:szCs w:val="24"/>
        </w:rPr>
        <w:t xml:space="preserve">as </w:t>
      </w:r>
      <w:r w:rsidR="006E6D4A" w:rsidRPr="00E63A6F">
        <w:rPr>
          <w:rFonts w:ascii="Arial" w:eastAsia="Times New Roman" w:hAnsi="Arial" w:cs="Arial"/>
          <w:bCs/>
          <w:sz w:val="24"/>
          <w:szCs w:val="24"/>
        </w:rPr>
        <w:t xml:space="preserve">can rapidly generate an explosive environment </w:t>
      </w:r>
      <w:r w:rsidRPr="00E63A6F">
        <w:rPr>
          <w:rFonts w:ascii="Arial" w:eastAsia="Times New Roman" w:hAnsi="Arial" w:cs="Arial"/>
          <w:bCs/>
          <w:sz w:val="24"/>
          <w:szCs w:val="24"/>
        </w:rPr>
        <w:t>w</w:t>
      </w:r>
      <w:r w:rsidR="00043E47" w:rsidRPr="00E63A6F">
        <w:rPr>
          <w:rFonts w:ascii="Arial" w:eastAsia="Times New Roman" w:hAnsi="Arial" w:cs="Arial"/>
          <w:bCs/>
          <w:sz w:val="24"/>
          <w:szCs w:val="24"/>
        </w:rPr>
        <w:t xml:space="preserve">ithin </w:t>
      </w:r>
      <w:r w:rsidRPr="00E63A6F">
        <w:rPr>
          <w:rFonts w:ascii="Arial" w:eastAsia="Times New Roman" w:hAnsi="Arial" w:cs="Arial"/>
          <w:bCs/>
          <w:sz w:val="24"/>
          <w:szCs w:val="24"/>
        </w:rPr>
        <w:t>a BSC, where air is recirculated</w:t>
      </w:r>
      <w:r w:rsidR="006C79F7" w:rsidRPr="00E63A6F">
        <w:rPr>
          <w:rFonts w:ascii="Arial" w:eastAsia="Times New Roman" w:hAnsi="Arial" w:cs="Arial"/>
          <w:bCs/>
          <w:sz w:val="24"/>
          <w:szCs w:val="24"/>
        </w:rPr>
        <w:t>.</w:t>
      </w:r>
    </w:p>
    <w:p w14:paraId="1B7125DD" w14:textId="77777777" w:rsidR="008076BC" w:rsidRPr="00E63A6F" w:rsidRDefault="00D02D12" w:rsidP="00E63A6F">
      <w:pPr>
        <w:shd w:val="clear" w:color="auto" w:fill="D9D9D9" w:themeFill="background1" w:themeFillShade="D9"/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00E63A6F">
        <w:rPr>
          <w:rStyle w:val="BookTitle"/>
          <w:sz w:val="24"/>
          <w:szCs w:val="24"/>
        </w:rPr>
        <w:t>Alternative</w:t>
      </w:r>
      <w:r w:rsidR="001A41AC" w:rsidRPr="00E63A6F">
        <w:rPr>
          <w:rStyle w:val="BookTitle"/>
          <w:sz w:val="24"/>
          <w:szCs w:val="24"/>
        </w:rPr>
        <w:t>s:</w:t>
      </w:r>
    </w:p>
    <w:p w14:paraId="5EC65771" w14:textId="77777777" w:rsidR="003E3840" w:rsidRPr="00E63A6F" w:rsidRDefault="00CC3028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As i</w:t>
      </w:r>
      <w:r w:rsidR="00D02D12" w:rsidRPr="00E63A6F">
        <w:rPr>
          <w:rFonts w:ascii="Arial" w:hAnsi="Arial" w:cs="Arial"/>
          <w:sz w:val="24"/>
          <w:szCs w:val="24"/>
        </w:rPr>
        <w:t>n all cases, it is the PI’s responsibility to review</w:t>
      </w:r>
      <w:r w:rsidR="003E3840" w:rsidRPr="00E63A6F">
        <w:rPr>
          <w:rFonts w:ascii="Arial" w:hAnsi="Arial" w:cs="Arial"/>
          <w:sz w:val="24"/>
          <w:szCs w:val="24"/>
        </w:rPr>
        <w:t xml:space="preserve"> r</w:t>
      </w:r>
      <w:r w:rsidR="00D02D12" w:rsidRPr="00E63A6F">
        <w:rPr>
          <w:rFonts w:ascii="Arial" w:hAnsi="Arial" w:cs="Arial"/>
          <w:sz w:val="24"/>
          <w:szCs w:val="24"/>
        </w:rPr>
        <w:t xml:space="preserve">esearch activities </w:t>
      </w:r>
      <w:r w:rsidR="00C40599" w:rsidRPr="00E63A6F">
        <w:rPr>
          <w:rFonts w:ascii="Arial" w:hAnsi="Arial" w:cs="Arial"/>
          <w:sz w:val="24"/>
          <w:szCs w:val="24"/>
        </w:rPr>
        <w:t>and</w:t>
      </w:r>
      <w:r w:rsidR="00D02D12" w:rsidRPr="00E63A6F">
        <w:rPr>
          <w:rFonts w:ascii="Arial" w:hAnsi="Arial" w:cs="Arial"/>
          <w:sz w:val="24"/>
          <w:szCs w:val="24"/>
        </w:rPr>
        <w:t xml:space="preserve"> employ</w:t>
      </w:r>
      <w:r w:rsidR="00C40599" w:rsidRPr="00E63A6F">
        <w:rPr>
          <w:rFonts w:ascii="Arial" w:hAnsi="Arial" w:cs="Arial"/>
          <w:sz w:val="24"/>
          <w:szCs w:val="24"/>
        </w:rPr>
        <w:t xml:space="preserve"> </w:t>
      </w:r>
      <w:r w:rsidRPr="00E63A6F">
        <w:rPr>
          <w:rFonts w:ascii="Arial" w:hAnsi="Arial" w:cs="Arial"/>
          <w:sz w:val="24"/>
          <w:szCs w:val="24"/>
        </w:rPr>
        <w:t xml:space="preserve">safer </w:t>
      </w:r>
      <w:r w:rsidR="00C40599" w:rsidRPr="00E63A6F">
        <w:rPr>
          <w:rFonts w:ascii="Arial" w:hAnsi="Arial" w:cs="Arial"/>
          <w:sz w:val="24"/>
          <w:szCs w:val="24"/>
        </w:rPr>
        <w:t>strategies</w:t>
      </w:r>
      <w:r w:rsidR="00D02D12" w:rsidRPr="00E63A6F">
        <w:rPr>
          <w:rFonts w:ascii="Arial" w:hAnsi="Arial" w:cs="Arial"/>
          <w:sz w:val="24"/>
          <w:szCs w:val="24"/>
        </w:rPr>
        <w:t xml:space="preserve"> whenever warranted</w:t>
      </w:r>
      <w:r w:rsidR="00C40599" w:rsidRPr="00E63A6F">
        <w:rPr>
          <w:rFonts w:ascii="Arial" w:hAnsi="Arial" w:cs="Arial"/>
          <w:sz w:val="24"/>
          <w:szCs w:val="24"/>
        </w:rPr>
        <w:t xml:space="preserve">.  </w:t>
      </w:r>
      <w:r w:rsidRPr="00E63A6F">
        <w:rPr>
          <w:rFonts w:ascii="Arial" w:hAnsi="Arial" w:cs="Arial"/>
          <w:sz w:val="24"/>
          <w:szCs w:val="24"/>
        </w:rPr>
        <w:t>In this case, t</w:t>
      </w:r>
      <w:r w:rsidR="00C40599" w:rsidRPr="00E63A6F">
        <w:rPr>
          <w:rFonts w:ascii="Arial" w:hAnsi="Arial" w:cs="Arial"/>
          <w:sz w:val="24"/>
          <w:szCs w:val="24"/>
        </w:rPr>
        <w:t>hese alternatives include:</w:t>
      </w:r>
    </w:p>
    <w:p w14:paraId="7A1560D1" w14:textId="77777777" w:rsidR="00C40599" w:rsidRPr="00E63A6F" w:rsidRDefault="00D02D12" w:rsidP="00E63A6F">
      <w:pPr>
        <w:pStyle w:val="ListParagraph"/>
        <w:numPr>
          <w:ilvl w:val="0"/>
          <w:numId w:val="29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D</w:t>
      </w:r>
      <w:r w:rsidR="00C40599" w:rsidRPr="00E63A6F">
        <w:rPr>
          <w:rFonts w:ascii="Arial" w:hAnsi="Arial" w:cs="Arial"/>
          <w:sz w:val="24"/>
          <w:szCs w:val="24"/>
        </w:rPr>
        <w:t>isposable loops/spreaders</w:t>
      </w:r>
    </w:p>
    <w:p w14:paraId="213018CE" w14:textId="77777777" w:rsidR="00CF430E" w:rsidRPr="00E63A6F" w:rsidRDefault="00CF430E" w:rsidP="00E63A6F">
      <w:pPr>
        <w:pStyle w:val="ListParagraph"/>
        <w:numPr>
          <w:ilvl w:val="0"/>
          <w:numId w:val="29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Electric Bunsen burners</w:t>
      </w:r>
      <w:r w:rsidR="006561F8" w:rsidRPr="00E63A6F">
        <w:rPr>
          <w:rFonts w:ascii="Arial" w:hAnsi="Arial" w:cs="Arial"/>
          <w:sz w:val="24"/>
          <w:szCs w:val="24"/>
        </w:rPr>
        <w:t xml:space="preserve"> </w:t>
      </w:r>
      <w:r w:rsidR="00BA15F4" w:rsidRPr="00E63A6F">
        <w:rPr>
          <w:noProof/>
          <w:sz w:val="24"/>
          <w:szCs w:val="24"/>
        </w:rPr>
        <w:drawing>
          <wp:inline distT="0" distB="0" distL="0" distR="0" wp14:anchorId="22BB2AD1" wp14:editId="4C3A3699">
            <wp:extent cx="484505" cy="484505"/>
            <wp:effectExtent l="0" t="0" r="0" b="0"/>
            <wp:docPr id="3" name="Picture 3" descr="Image of an electric Bunsen burner" title="Electric Bunsen Bu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of an electric Bunsen bu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5972" w14:textId="77777777" w:rsidR="00AD7B70" w:rsidRPr="00E63A6F" w:rsidRDefault="00AD7B70" w:rsidP="00E63A6F">
      <w:pPr>
        <w:pStyle w:val="ListParagraph"/>
        <w:numPr>
          <w:ilvl w:val="0"/>
          <w:numId w:val="29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E</w:t>
      </w:r>
      <w:r w:rsidR="00C40599" w:rsidRPr="00E63A6F">
        <w:rPr>
          <w:rFonts w:ascii="Arial" w:hAnsi="Arial" w:cs="Arial"/>
          <w:sz w:val="24"/>
          <w:szCs w:val="24"/>
        </w:rPr>
        <w:t>lectric incinerators</w:t>
      </w:r>
      <w:r w:rsidR="006561F8" w:rsidRPr="00E63A6F">
        <w:rPr>
          <w:rFonts w:ascii="Arial" w:hAnsi="Arial" w:cs="Arial"/>
          <w:sz w:val="24"/>
          <w:szCs w:val="24"/>
        </w:rPr>
        <w:t xml:space="preserve"> </w:t>
      </w:r>
      <w:r w:rsidR="00BA15F4" w:rsidRPr="00E63A6F">
        <w:rPr>
          <w:noProof/>
          <w:sz w:val="24"/>
          <w:szCs w:val="24"/>
        </w:rPr>
        <w:drawing>
          <wp:inline distT="0" distB="0" distL="0" distR="0" wp14:anchorId="500C9B34" wp14:editId="0EAB026C">
            <wp:extent cx="474980" cy="474980"/>
            <wp:effectExtent l="0" t="0" r="1270" b="1270"/>
            <wp:docPr id="1" name="Picture 1" descr="Image of Bacti-Cinerator" title="Electric inci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Bacti-Cinera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569C" w14:textId="77777777" w:rsidR="00AD7B70" w:rsidRPr="00E63A6F" w:rsidRDefault="00C40599" w:rsidP="00E63A6F">
      <w:pPr>
        <w:pStyle w:val="ListParagraph"/>
        <w:numPr>
          <w:ilvl w:val="0"/>
          <w:numId w:val="29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Hot bead sterilizers</w:t>
      </w:r>
      <w:r w:rsidR="006561F8" w:rsidRPr="00E63A6F">
        <w:rPr>
          <w:rFonts w:ascii="Arial" w:hAnsi="Arial" w:cs="Arial"/>
          <w:sz w:val="24"/>
          <w:szCs w:val="24"/>
        </w:rPr>
        <w:t xml:space="preserve"> </w:t>
      </w:r>
      <w:r w:rsidR="00BA15F4" w:rsidRPr="00E63A6F">
        <w:rPr>
          <w:noProof/>
          <w:sz w:val="24"/>
          <w:szCs w:val="24"/>
        </w:rPr>
        <w:drawing>
          <wp:inline distT="0" distB="0" distL="0" distR="0" wp14:anchorId="518890B9" wp14:editId="7F24D87A">
            <wp:extent cx="474980" cy="474980"/>
            <wp:effectExtent l="0" t="0" r="1270" b="1270"/>
            <wp:docPr id="2" name="Picture 2" descr="Image of Steri 250 Glass Bead Sterilizer" title="Hot bead steri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Steri 250 Glass Bead Steriliz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839A" w14:textId="77777777" w:rsidR="00CC3028" w:rsidRPr="00E63A6F" w:rsidRDefault="00CC3028" w:rsidP="00E63A6F">
      <w:pPr>
        <w:shd w:val="clear" w:color="auto" w:fill="D9D9D9" w:themeFill="background1" w:themeFillShade="D9"/>
        <w:spacing w:after="0" w:line="240" w:lineRule="auto"/>
        <w:outlineLvl w:val="1"/>
        <w:rPr>
          <w:rStyle w:val="BookTitle"/>
          <w:sz w:val="24"/>
          <w:szCs w:val="24"/>
        </w:rPr>
      </w:pPr>
      <w:r w:rsidRPr="00E63A6F">
        <w:rPr>
          <w:rStyle w:val="BookTitle"/>
          <w:sz w:val="24"/>
          <w:szCs w:val="24"/>
        </w:rPr>
        <w:t>Regulatory requirements:</w:t>
      </w:r>
    </w:p>
    <w:p w14:paraId="4C687832" w14:textId="77777777" w:rsidR="00CC3028" w:rsidRPr="00E63A6F" w:rsidRDefault="00CC3028" w:rsidP="00E63A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Are there any regulations that prohibit use of a Bunsen burner or natural gas in a BSC?</w:t>
      </w:r>
    </w:p>
    <w:p w14:paraId="5ED7FA6B" w14:textId="77777777" w:rsidR="00CC3028" w:rsidRPr="00E63A6F" w:rsidRDefault="00CC3028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Currently, no such regulations exist.  However, the CDC and the NIH have addressed this, stating that “open flames are not required in the near microbe free environment of a BSC”</w:t>
      </w:r>
      <w:r w:rsidRPr="00E63A6F">
        <w:rPr>
          <w:rFonts w:ascii="Arial" w:hAnsi="Arial" w:cs="Arial"/>
          <w:sz w:val="24"/>
          <w:szCs w:val="24"/>
          <w:vertAlign w:val="superscript"/>
        </w:rPr>
        <w:t>1</w:t>
      </w:r>
      <w:r w:rsidRPr="00E63A6F">
        <w:rPr>
          <w:rFonts w:ascii="Arial" w:hAnsi="Arial" w:cs="Arial"/>
          <w:sz w:val="24"/>
          <w:szCs w:val="24"/>
        </w:rPr>
        <w:t xml:space="preserve"> and should only be utilized when “deemed absolutely necessary”.  </w:t>
      </w:r>
    </w:p>
    <w:p w14:paraId="1EAEB610" w14:textId="77777777" w:rsidR="00CC3028" w:rsidRPr="00E63A6F" w:rsidRDefault="00CC3028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The NSF/ANSI standard 49 addresses the plumbing of gas to a service valve in the BSC stating that “this practice should be avoided</w:t>
      </w:r>
      <w:r w:rsidR="008E705A" w:rsidRPr="00E63A6F">
        <w:rPr>
          <w:rFonts w:ascii="Arial" w:hAnsi="Arial" w:cs="Arial"/>
          <w:sz w:val="24"/>
          <w:szCs w:val="24"/>
        </w:rPr>
        <w:t>”</w:t>
      </w:r>
      <w:r w:rsidRPr="00E63A6F">
        <w:rPr>
          <w:rFonts w:ascii="Arial" w:hAnsi="Arial" w:cs="Arial"/>
          <w:sz w:val="24"/>
          <w:szCs w:val="24"/>
          <w:vertAlign w:val="superscript"/>
        </w:rPr>
        <w:t>2</w:t>
      </w:r>
      <w:r w:rsidRPr="00E63A6F">
        <w:rPr>
          <w:rFonts w:ascii="Arial" w:hAnsi="Arial" w:cs="Arial"/>
          <w:sz w:val="24"/>
          <w:szCs w:val="24"/>
        </w:rPr>
        <w:t xml:space="preserve"> due to the reasons outlined above.</w:t>
      </w:r>
    </w:p>
    <w:p w14:paraId="2F8B3976" w14:textId="77777777" w:rsidR="00CC3028" w:rsidRPr="00E63A6F" w:rsidRDefault="00CC3028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BSC manufacturers do not recommend the use of natural gas and state that:</w:t>
      </w:r>
    </w:p>
    <w:p w14:paraId="0B283FCF" w14:textId="77777777" w:rsidR="00CC3028" w:rsidRPr="00E63A6F" w:rsidRDefault="00CC3028" w:rsidP="00E63A6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such use is “at your own risk”</w:t>
      </w:r>
      <w:r w:rsidRPr="00E63A6F">
        <w:rPr>
          <w:rFonts w:ascii="Arial" w:hAnsi="Arial" w:cs="Arial"/>
          <w:sz w:val="24"/>
          <w:szCs w:val="24"/>
          <w:vertAlign w:val="superscript"/>
        </w:rPr>
        <w:t>3</w:t>
      </w:r>
    </w:p>
    <w:p w14:paraId="222496CF" w14:textId="77777777" w:rsidR="00CC3028" w:rsidRPr="00E63A6F" w:rsidRDefault="00CC3028" w:rsidP="00E63A6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they do not endorse the use of flammable gases within the BSCs under any conditions</w:t>
      </w:r>
      <w:r w:rsidRPr="00E63A6F">
        <w:rPr>
          <w:rFonts w:ascii="Arial" w:hAnsi="Arial" w:cs="Arial"/>
          <w:sz w:val="24"/>
          <w:szCs w:val="24"/>
          <w:vertAlign w:val="superscript"/>
        </w:rPr>
        <w:t>4</w:t>
      </w:r>
    </w:p>
    <w:p w14:paraId="70BA35EC" w14:textId="77777777" w:rsidR="00CC3028" w:rsidRPr="00E63A6F" w:rsidRDefault="00CC3028" w:rsidP="00E63A6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the best solution to this problem is the elimination of flammable gas use with BSCs</w:t>
      </w:r>
      <w:r w:rsidRPr="00E63A6F">
        <w:rPr>
          <w:rFonts w:ascii="Arial" w:hAnsi="Arial" w:cs="Arial"/>
          <w:sz w:val="24"/>
          <w:szCs w:val="24"/>
          <w:vertAlign w:val="superscript"/>
        </w:rPr>
        <w:t>4</w:t>
      </w:r>
    </w:p>
    <w:p w14:paraId="32B39DD0" w14:textId="77777777" w:rsidR="00D02D12" w:rsidRPr="00E63A6F" w:rsidRDefault="00CF430E" w:rsidP="00E63A6F">
      <w:pPr>
        <w:shd w:val="clear" w:color="auto" w:fill="D9D9D9" w:themeFill="background1" w:themeFillShade="D9"/>
        <w:spacing w:after="0" w:line="240" w:lineRule="auto"/>
        <w:rPr>
          <w:rStyle w:val="BookTitle"/>
          <w:sz w:val="24"/>
          <w:szCs w:val="24"/>
        </w:rPr>
      </w:pPr>
      <w:r w:rsidRPr="00E63A6F">
        <w:rPr>
          <w:rStyle w:val="BookTitle"/>
          <w:sz w:val="24"/>
          <w:szCs w:val="24"/>
        </w:rPr>
        <w:lastRenderedPageBreak/>
        <w:t>Further methods to mitigate risk</w:t>
      </w:r>
    </w:p>
    <w:p w14:paraId="2FBA10CD" w14:textId="77777777" w:rsidR="0079500B" w:rsidRPr="00E63A6F" w:rsidRDefault="003E3840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If</w:t>
      </w:r>
      <w:r w:rsidR="00B23A4D" w:rsidRPr="00E63A6F">
        <w:rPr>
          <w:rFonts w:ascii="Arial" w:hAnsi="Arial" w:cs="Arial"/>
          <w:sz w:val="24"/>
          <w:szCs w:val="24"/>
        </w:rPr>
        <w:t>, after consultation with the WSU Biosafety Group,</w:t>
      </w:r>
      <w:r w:rsidRPr="00E63A6F">
        <w:rPr>
          <w:rFonts w:ascii="Arial" w:hAnsi="Arial" w:cs="Arial"/>
          <w:sz w:val="24"/>
          <w:szCs w:val="24"/>
        </w:rPr>
        <w:t xml:space="preserve"> </w:t>
      </w:r>
      <w:r w:rsidR="00B23A4D" w:rsidRPr="00E63A6F">
        <w:rPr>
          <w:rFonts w:ascii="Arial" w:hAnsi="Arial" w:cs="Arial"/>
          <w:sz w:val="24"/>
          <w:szCs w:val="24"/>
        </w:rPr>
        <w:t xml:space="preserve">it is determined </w:t>
      </w:r>
      <w:r w:rsidRPr="00E63A6F">
        <w:rPr>
          <w:rFonts w:ascii="Arial" w:hAnsi="Arial" w:cs="Arial"/>
          <w:sz w:val="24"/>
          <w:szCs w:val="24"/>
        </w:rPr>
        <w:t xml:space="preserve">that an open flame, or plumbed gas is essential to your </w:t>
      </w:r>
      <w:r w:rsidR="00C40599" w:rsidRPr="00E63A6F">
        <w:rPr>
          <w:rFonts w:ascii="Arial" w:hAnsi="Arial" w:cs="Arial"/>
          <w:sz w:val="24"/>
          <w:szCs w:val="24"/>
        </w:rPr>
        <w:t>research activities, safer alternatives to the traditional Bunsen burner are available</w:t>
      </w:r>
      <w:r w:rsidR="00CF430E" w:rsidRPr="00E63A6F">
        <w:rPr>
          <w:rFonts w:ascii="Arial" w:hAnsi="Arial" w:cs="Arial"/>
          <w:sz w:val="24"/>
          <w:szCs w:val="24"/>
        </w:rPr>
        <w:t>, e.g.</w:t>
      </w:r>
      <w:r w:rsidR="00C40599" w:rsidRPr="00E63A6F">
        <w:rPr>
          <w:rFonts w:ascii="Arial" w:hAnsi="Arial" w:cs="Arial"/>
          <w:sz w:val="24"/>
          <w:szCs w:val="24"/>
        </w:rPr>
        <w:t>:</w:t>
      </w:r>
    </w:p>
    <w:p w14:paraId="102352F4" w14:textId="77777777" w:rsidR="00C40599" w:rsidRPr="00E63A6F" w:rsidRDefault="00C40599" w:rsidP="00E63A6F">
      <w:pPr>
        <w:pStyle w:val="ListParagraph"/>
        <w:numPr>
          <w:ilvl w:val="0"/>
          <w:numId w:val="30"/>
        </w:numPr>
        <w:tabs>
          <w:tab w:val="left" w:pos="540"/>
        </w:tabs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 xml:space="preserve">Safety lab gas burners </w:t>
      </w:r>
    </w:p>
    <w:p w14:paraId="3632233F" w14:textId="77777777" w:rsidR="00C40599" w:rsidRPr="00E63A6F" w:rsidRDefault="00C40599" w:rsidP="00E63A6F">
      <w:pPr>
        <w:pStyle w:val="ListParagraph"/>
        <w:numPr>
          <w:ilvl w:val="0"/>
          <w:numId w:val="30"/>
        </w:numPr>
        <w:tabs>
          <w:tab w:val="left" w:pos="540"/>
        </w:tabs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Touch-o-</w:t>
      </w:r>
      <w:proofErr w:type="spellStart"/>
      <w:r w:rsidRPr="00E63A6F">
        <w:rPr>
          <w:rFonts w:ascii="Arial" w:hAnsi="Arial" w:cs="Arial"/>
          <w:sz w:val="24"/>
          <w:szCs w:val="24"/>
        </w:rPr>
        <w:t>matic</w:t>
      </w:r>
      <w:proofErr w:type="spellEnd"/>
      <w:r w:rsidRPr="00E63A6F">
        <w:rPr>
          <w:rFonts w:ascii="Arial" w:hAnsi="Arial" w:cs="Arial"/>
          <w:sz w:val="24"/>
          <w:szCs w:val="24"/>
        </w:rPr>
        <w:t xml:space="preserve"> Bunsen burners</w:t>
      </w:r>
    </w:p>
    <w:p w14:paraId="3C7F021A" w14:textId="77777777" w:rsidR="00C40599" w:rsidRPr="00E63A6F" w:rsidRDefault="00C40599" w:rsidP="00E63A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 xml:space="preserve">In addition, ensure that the following safety steps are </w:t>
      </w:r>
      <w:r w:rsidR="00B7733E" w:rsidRPr="00E63A6F">
        <w:rPr>
          <w:rFonts w:ascii="Arial" w:hAnsi="Arial" w:cs="Arial"/>
          <w:sz w:val="24"/>
          <w:szCs w:val="24"/>
        </w:rPr>
        <w:t>taken</w:t>
      </w:r>
      <w:r w:rsidRPr="00E63A6F">
        <w:rPr>
          <w:rFonts w:ascii="Arial" w:hAnsi="Arial" w:cs="Arial"/>
          <w:sz w:val="24"/>
          <w:szCs w:val="24"/>
        </w:rPr>
        <w:t>:</w:t>
      </w:r>
    </w:p>
    <w:p w14:paraId="6F806D98" w14:textId="77777777" w:rsidR="00C40599" w:rsidRPr="00E63A6F" w:rsidRDefault="00C40599" w:rsidP="00E63A6F">
      <w:pPr>
        <w:pStyle w:val="ListParagraph"/>
        <w:numPr>
          <w:ilvl w:val="0"/>
          <w:numId w:val="31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Use the correct tubing (</w:t>
      </w:r>
      <w:r w:rsidR="00D02D12" w:rsidRPr="00E63A6F">
        <w:rPr>
          <w:rFonts w:ascii="Arial" w:hAnsi="Arial" w:cs="Arial"/>
          <w:sz w:val="24"/>
          <w:szCs w:val="24"/>
        </w:rPr>
        <w:t>b</w:t>
      </w:r>
      <w:r w:rsidRPr="00E63A6F">
        <w:rPr>
          <w:rFonts w:ascii="Arial" w:hAnsi="Arial" w:cs="Arial"/>
          <w:sz w:val="24"/>
          <w:szCs w:val="24"/>
        </w:rPr>
        <w:t>utyl rubber hose)</w:t>
      </w:r>
    </w:p>
    <w:p w14:paraId="2CF94B5E" w14:textId="77777777" w:rsidR="00C40599" w:rsidRPr="00E63A6F" w:rsidRDefault="00C40599" w:rsidP="00E63A6F">
      <w:pPr>
        <w:pStyle w:val="ListParagraph"/>
        <w:numPr>
          <w:ilvl w:val="0"/>
          <w:numId w:val="31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Place the unit to the rear of the BSC in order to minimize the effects on laminar air flow</w:t>
      </w:r>
    </w:p>
    <w:p w14:paraId="72CD2565" w14:textId="77777777" w:rsidR="00C40599" w:rsidRPr="00E63A6F" w:rsidRDefault="00C40599" w:rsidP="00E63A6F">
      <w:pPr>
        <w:pStyle w:val="ListParagraph"/>
        <w:numPr>
          <w:ilvl w:val="0"/>
          <w:numId w:val="31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Minimize the amount of flammable material present in the work area</w:t>
      </w:r>
    </w:p>
    <w:p w14:paraId="43208223" w14:textId="77777777" w:rsidR="00C40599" w:rsidRPr="00E63A6F" w:rsidRDefault="00C40599" w:rsidP="00E63A6F">
      <w:pPr>
        <w:pStyle w:val="ListParagraph"/>
        <w:numPr>
          <w:ilvl w:val="0"/>
          <w:numId w:val="31"/>
        </w:numPr>
        <w:spacing w:after="0" w:line="240" w:lineRule="auto"/>
        <w:ind w:left="540" w:hanging="270"/>
        <w:rPr>
          <w:rFonts w:ascii="Arial" w:hAnsi="Arial" w:cs="Arial"/>
          <w:sz w:val="24"/>
          <w:szCs w:val="24"/>
        </w:rPr>
      </w:pPr>
      <w:r w:rsidRPr="00E63A6F">
        <w:rPr>
          <w:rFonts w:ascii="Arial" w:hAnsi="Arial" w:cs="Arial"/>
          <w:sz w:val="24"/>
          <w:szCs w:val="24"/>
        </w:rPr>
        <w:t>Ensure that an external gas shut off valve is installed</w:t>
      </w:r>
      <w:r w:rsidR="008E705A" w:rsidRPr="00E63A6F">
        <w:rPr>
          <w:rFonts w:ascii="Arial" w:hAnsi="Arial" w:cs="Arial"/>
          <w:sz w:val="24"/>
          <w:szCs w:val="24"/>
        </w:rPr>
        <w:t>,</w:t>
      </w:r>
      <w:r w:rsidR="00E63A6F">
        <w:rPr>
          <w:rFonts w:ascii="Arial" w:hAnsi="Arial" w:cs="Arial"/>
          <w:sz w:val="24"/>
          <w:szCs w:val="24"/>
        </w:rPr>
        <w:t xml:space="preserve"> </w:t>
      </w:r>
      <w:r w:rsidRPr="00E63A6F">
        <w:rPr>
          <w:rFonts w:ascii="Arial" w:hAnsi="Arial" w:cs="Arial"/>
          <w:sz w:val="24"/>
          <w:szCs w:val="24"/>
        </w:rPr>
        <w:t>accessible</w:t>
      </w:r>
      <w:r w:rsidR="008E705A" w:rsidRPr="00E63A6F">
        <w:rPr>
          <w:rFonts w:ascii="Arial" w:hAnsi="Arial" w:cs="Arial"/>
          <w:sz w:val="24"/>
          <w:szCs w:val="24"/>
        </w:rPr>
        <w:t>, and that lab personnel are appropriately trained</w:t>
      </w:r>
    </w:p>
    <w:p w14:paraId="512D48AA" w14:textId="77777777" w:rsidR="0079500B" w:rsidRPr="00E63A6F" w:rsidRDefault="0079500B" w:rsidP="00E63A6F">
      <w:pPr>
        <w:pStyle w:val="NoSpacing"/>
        <w:shd w:val="clear" w:color="auto" w:fill="D9D9D9" w:themeFill="background1" w:themeFillShade="D9"/>
        <w:rPr>
          <w:rStyle w:val="BookTitle"/>
          <w:rFonts w:cs="Arial"/>
          <w:sz w:val="24"/>
          <w:szCs w:val="24"/>
        </w:rPr>
      </w:pPr>
      <w:r w:rsidRPr="00E63A6F">
        <w:rPr>
          <w:rStyle w:val="BookTitle"/>
          <w:rFonts w:cs="Arial"/>
          <w:sz w:val="24"/>
          <w:szCs w:val="24"/>
        </w:rPr>
        <w:t>Resources:</w:t>
      </w:r>
    </w:p>
    <w:p w14:paraId="51497454" w14:textId="77777777" w:rsidR="00AD4DE3" w:rsidRPr="00205E9E" w:rsidRDefault="000B6A62" w:rsidP="00205E9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8901E7" w:rsidRPr="00205E9E">
          <w:rPr>
            <w:rStyle w:val="Hyperlink"/>
            <w:rFonts w:ascii="Arial" w:eastAsia="Times New Roman" w:hAnsi="Arial" w:cs="Arial"/>
            <w:sz w:val="24"/>
            <w:szCs w:val="24"/>
          </w:rPr>
          <w:t>B</w:t>
        </w:r>
        <w:r w:rsidR="00C9064A" w:rsidRPr="00205E9E">
          <w:rPr>
            <w:rStyle w:val="Hyperlink"/>
            <w:rFonts w:ascii="Arial" w:eastAsia="Times New Roman" w:hAnsi="Arial" w:cs="Arial"/>
            <w:sz w:val="24"/>
            <w:szCs w:val="24"/>
          </w:rPr>
          <w:t>iosafety in Microbiological and Biomedical Laboratories, 5</w:t>
        </w:r>
        <w:r w:rsidR="00C9064A" w:rsidRPr="00205E9E">
          <w:rPr>
            <w:rStyle w:val="Hyperlink"/>
            <w:rFonts w:ascii="Arial" w:eastAsia="Times New Roman" w:hAnsi="Arial" w:cs="Arial"/>
            <w:sz w:val="24"/>
            <w:szCs w:val="24"/>
            <w:vertAlign w:val="superscript"/>
          </w:rPr>
          <w:t>th</w:t>
        </w:r>
        <w:r w:rsidR="00C9064A" w:rsidRPr="00205E9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Edition</w:t>
        </w:r>
      </w:hyperlink>
    </w:p>
    <w:p w14:paraId="0A009ACD" w14:textId="77777777" w:rsidR="00AD4DE3" w:rsidRPr="00205E9E" w:rsidRDefault="000B6A62" w:rsidP="00205E9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AD4DE3" w:rsidRPr="00205E9E">
          <w:rPr>
            <w:rStyle w:val="Hyperlink"/>
            <w:rFonts w:ascii="Arial" w:eastAsia="Times New Roman" w:hAnsi="Arial" w:cs="Arial"/>
            <w:sz w:val="24"/>
            <w:szCs w:val="24"/>
          </w:rPr>
          <w:t>NSF/ANSI Standard 49</w:t>
        </w:r>
      </w:hyperlink>
      <w:r w:rsidR="008901E7" w:rsidRPr="00205E9E">
        <w:rPr>
          <w:rFonts w:ascii="Arial" w:hAnsi="Arial" w:cs="Arial"/>
          <w:sz w:val="24"/>
          <w:szCs w:val="24"/>
        </w:rPr>
        <w:t xml:space="preserve"> – 2008:  Biosafety Cabinetry: Design, Construction, Performance, and Field Certification</w:t>
      </w:r>
    </w:p>
    <w:p w14:paraId="543F6D9C" w14:textId="77777777" w:rsidR="00D04670" w:rsidRPr="00205E9E" w:rsidRDefault="001E0058" w:rsidP="00205E9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5E9E">
        <w:rPr>
          <w:rFonts w:ascii="Arial" w:hAnsi="Arial" w:cs="Arial"/>
          <w:sz w:val="24"/>
          <w:szCs w:val="24"/>
        </w:rPr>
        <w:t xml:space="preserve">Nuaire Technical Bulletin: </w:t>
      </w:r>
      <w:hyperlink r:id="rId13" w:history="1">
        <w:r w:rsidRPr="00205E9E">
          <w:rPr>
            <w:rStyle w:val="Hyperlink"/>
            <w:rFonts w:ascii="Arial" w:eastAsia="Times New Roman" w:hAnsi="Arial" w:cs="Arial"/>
            <w:sz w:val="24"/>
            <w:szCs w:val="24"/>
          </w:rPr>
          <w:t>Use of Natural Gas/Bunsen Burner within a Biological Safety Cabinet</w:t>
        </w:r>
      </w:hyperlink>
      <w:r w:rsidR="00D04670" w:rsidRPr="00205E9E">
        <w:rPr>
          <w:rFonts w:ascii="Arial" w:hAnsi="Arial" w:cs="Arial"/>
          <w:sz w:val="24"/>
          <w:szCs w:val="24"/>
        </w:rPr>
        <w:t xml:space="preserve"> </w:t>
      </w:r>
    </w:p>
    <w:p w14:paraId="205CC9EC" w14:textId="77777777" w:rsidR="0021196A" w:rsidRPr="00205E9E" w:rsidRDefault="0021196A" w:rsidP="00205E9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5E9E">
        <w:rPr>
          <w:rFonts w:ascii="Arial" w:hAnsi="Arial" w:cs="Arial"/>
          <w:sz w:val="24"/>
          <w:szCs w:val="24"/>
        </w:rPr>
        <w:t xml:space="preserve">The Baker Company, Technical Bulletin:  </w:t>
      </w:r>
      <w:hyperlink r:id="rId14" w:history="1">
        <w:r w:rsidRPr="00205E9E">
          <w:rPr>
            <w:rStyle w:val="Hyperlink"/>
            <w:rFonts w:ascii="Arial" w:eastAsia="Times New Roman" w:hAnsi="Arial" w:cs="Arial"/>
            <w:sz w:val="24"/>
            <w:szCs w:val="24"/>
          </w:rPr>
          <w:t>The Use of Flammable Gas in a Biological Safety Cabinet</w:t>
        </w:r>
      </w:hyperlink>
    </w:p>
    <w:sectPr w:rsidR="0021196A" w:rsidRPr="00205E9E" w:rsidSect="000B6A62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6D83" w14:textId="77777777" w:rsidR="001668DA" w:rsidRDefault="001668DA" w:rsidP="00ED523C">
      <w:pPr>
        <w:spacing w:after="0" w:line="240" w:lineRule="auto"/>
      </w:pPr>
      <w:r>
        <w:separator/>
      </w:r>
    </w:p>
  </w:endnote>
  <w:endnote w:type="continuationSeparator" w:id="0">
    <w:p w14:paraId="0CCB8624" w14:textId="77777777" w:rsidR="001668DA" w:rsidRDefault="001668DA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4AA4" w14:textId="77777777" w:rsidR="00DC1BD4" w:rsidRDefault="00B23A4D">
    <w:pPr>
      <w:pStyle w:val="Footer"/>
    </w:pPr>
    <w:r>
      <w:t>Contact the Office of Environmental Health &amp; Safety at (313) 577 1200</w:t>
    </w:r>
    <w:r>
      <w:tab/>
      <w:t>OEHS Rev.2/2016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C744" w14:textId="77777777" w:rsidR="001668DA" w:rsidRDefault="001668DA" w:rsidP="00ED523C">
      <w:pPr>
        <w:spacing w:after="0" w:line="240" w:lineRule="auto"/>
      </w:pPr>
      <w:r>
        <w:separator/>
      </w:r>
    </w:p>
  </w:footnote>
  <w:footnote w:type="continuationSeparator" w:id="0">
    <w:p w14:paraId="0525BE1E" w14:textId="77777777" w:rsidR="001668DA" w:rsidRDefault="001668DA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5F6C" w14:textId="77777777" w:rsidR="00F90D50" w:rsidRDefault="0049091D" w:rsidP="0049091D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6EE7BA5D" wp14:editId="4AE58655">
          <wp:extent cx="1428750" cy="333375"/>
          <wp:effectExtent l="0" t="0" r="0" b="9525"/>
          <wp:docPr id="4" name="Picture 4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625F5127" wp14:editId="7DB9430B">
          <wp:extent cx="725083" cy="548640"/>
          <wp:effectExtent l="0" t="0" r="0" b="3810"/>
          <wp:docPr id="8" name="Picture 8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EEE"/>
    <w:multiLevelType w:val="hybridMultilevel"/>
    <w:tmpl w:val="21B8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43E"/>
    <w:multiLevelType w:val="hybridMultilevel"/>
    <w:tmpl w:val="6DA4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B2F75"/>
    <w:multiLevelType w:val="hybridMultilevel"/>
    <w:tmpl w:val="BE7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2D8"/>
    <w:multiLevelType w:val="hybridMultilevel"/>
    <w:tmpl w:val="F87093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16CAA"/>
    <w:multiLevelType w:val="multilevel"/>
    <w:tmpl w:val="1FE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75116"/>
    <w:multiLevelType w:val="hybridMultilevel"/>
    <w:tmpl w:val="D8F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F90"/>
    <w:multiLevelType w:val="hybridMultilevel"/>
    <w:tmpl w:val="B56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8C4"/>
    <w:multiLevelType w:val="hybridMultilevel"/>
    <w:tmpl w:val="F794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396"/>
    <w:multiLevelType w:val="hybridMultilevel"/>
    <w:tmpl w:val="D5E8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4E13"/>
    <w:multiLevelType w:val="hybridMultilevel"/>
    <w:tmpl w:val="1BC6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38D0"/>
    <w:multiLevelType w:val="hybridMultilevel"/>
    <w:tmpl w:val="89E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2A6"/>
    <w:multiLevelType w:val="hybridMultilevel"/>
    <w:tmpl w:val="E39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92E90"/>
    <w:multiLevelType w:val="hybridMultilevel"/>
    <w:tmpl w:val="132A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B5D64"/>
    <w:multiLevelType w:val="hybridMultilevel"/>
    <w:tmpl w:val="08AC2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14A14"/>
    <w:multiLevelType w:val="hybridMultilevel"/>
    <w:tmpl w:val="64F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E6F25"/>
    <w:multiLevelType w:val="hybridMultilevel"/>
    <w:tmpl w:val="676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84375"/>
    <w:multiLevelType w:val="hybridMultilevel"/>
    <w:tmpl w:val="2AF0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23CA"/>
    <w:multiLevelType w:val="hybridMultilevel"/>
    <w:tmpl w:val="0A7C76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5C771B4"/>
    <w:multiLevelType w:val="hybridMultilevel"/>
    <w:tmpl w:val="BB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59E3"/>
    <w:multiLevelType w:val="hybridMultilevel"/>
    <w:tmpl w:val="2444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487"/>
    <w:multiLevelType w:val="hybridMultilevel"/>
    <w:tmpl w:val="EDD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33E3E"/>
    <w:multiLevelType w:val="hybridMultilevel"/>
    <w:tmpl w:val="034CE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F"/>
    <w:multiLevelType w:val="hybridMultilevel"/>
    <w:tmpl w:val="53B6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40D32"/>
    <w:multiLevelType w:val="hybridMultilevel"/>
    <w:tmpl w:val="D320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60987"/>
    <w:multiLevelType w:val="hybridMultilevel"/>
    <w:tmpl w:val="4628E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D0C2F"/>
    <w:multiLevelType w:val="hybridMultilevel"/>
    <w:tmpl w:val="4C6644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9C74986"/>
    <w:multiLevelType w:val="hybridMultilevel"/>
    <w:tmpl w:val="DFA0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A6088"/>
    <w:multiLevelType w:val="hybridMultilevel"/>
    <w:tmpl w:val="0F9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54675"/>
    <w:multiLevelType w:val="hybridMultilevel"/>
    <w:tmpl w:val="948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F6B2E"/>
    <w:multiLevelType w:val="hybridMultilevel"/>
    <w:tmpl w:val="FD30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7B42"/>
    <w:multiLevelType w:val="hybridMultilevel"/>
    <w:tmpl w:val="D7FE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70A64"/>
    <w:multiLevelType w:val="hybridMultilevel"/>
    <w:tmpl w:val="85103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74FE2"/>
    <w:multiLevelType w:val="hybridMultilevel"/>
    <w:tmpl w:val="D0F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A4FFC"/>
    <w:multiLevelType w:val="hybridMultilevel"/>
    <w:tmpl w:val="80F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A5029"/>
    <w:multiLevelType w:val="hybridMultilevel"/>
    <w:tmpl w:val="0F9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260090">
    <w:abstractNumId w:val="11"/>
  </w:num>
  <w:num w:numId="2" w16cid:durableId="119494173">
    <w:abstractNumId w:val="27"/>
  </w:num>
  <w:num w:numId="3" w16cid:durableId="454372306">
    <w:abstractNumId w:val="12"/>
  </w:num>
  <w:num w:numId="4" w16cid:durableId="1695763864">
    <w:abstractNumId w:val="33"/>
  </w:num>
  <w:num w:numId="5" w16cid:durableId="1966501352">
    <w:abstractNumId w:val="34"/>
  </w:num>
  <w:num w:numId="6" w16cid:durableId="1943880115">
    <w:abstractNumId w:val="5"/>
  </w:num>
  <w:num w:numId="7" w16cid:durableId="1279215405">
    <w:abstractNumId w:val="19"/>
  </w:num>
  <w:num w:numId="8" w16cid:durableId="2005819683">
    <w:abstractNumId w:val="14"/>
  </w:num>
  <w:num w:numId="9" w16cid:durableId="1405491680">
    <w:abstractNumId w:val="8"/>
  </w:num>
  <w:num w:numId="10" w16cid:durableId="1753552038">
    <w:abstractNumId w:val="10"/>
  </w:num>
  <w:num w:numId="11" w16cid:durableId="718826949">
    <w:abstractNumId w:val="22"/>
  </w:num>
  <w:num w:numId="12" w16cid:durableId="112753345">
    <w:abstractNumId w:val="15"/>
  </w:num>
  <w:num w:numId="13" w16cid:durableId="154495541">
    <w:abstractNumId w:val="13"/>
  </w:num>
  <w:num w:numId="14" w16cid:durableId="1668749458">
    <w:abstractNumId w:val="23"/>
  </w:num>
  <w:num w:numId="15" w16cid:durableId="1524444206">
    <w:abstractNumId w:val="1"/>
  </w:num>
  <w:num w:numId="16" w16cid:durableId="1493834511">
    <w:abstractNumId w:val="3"/>
  </w:num>
  <w:num w:numId="17" w16cid:durableId="2013218039">
    <w:abstractNumId w:val="20"/>
  </w:num>
  <w:num w:numId="18" w16cid:durableId="4989754">
    <w:abstractNumId w:val="25"/>
  </w:num>
  <w:num w:numId="19" w16cid:durableId="1539850879">
    <w:abstractNumId w:val="4"/>
  </w:num>
  <w:num w:numId="20" w16cid:durableId="749349418">
    <w:abstractNumId w:val="21"/>
  </w:num>
  <w:num w:numId="21" w16cid:durableId="1973055712">
    <w:abstractNumId w:val="31"/>
  </w:num>
  <w:num w:numId="22" w16cid:durableId="249391178">
    <w:abstractNumId w:val="0"/>
  </w:num>
  <w:num w:numId="23" w16cid:durableId="1928690008">
    <w:abstractNumId w:val="28"/>
  </w:num>
  <w:num w:numId="24" w16cid:durableId="639502891">
    <w:abstractNumId w:val="2"/>
  </w:num>
  <w:num w:numId="25" w16cid:durableId="1077895136">
    <w:abstractNumId w:val="18"/>
  </w:num>
  <w:num w:numId="26" w16cid:durableId="1525825079">
    <w:abstractNumId w:val="32"/>
  </w:num>
  <w:num w:numId="27" w16cid:durableId="77605821">
    <w:abstractNumId w:val="9"/>
  </w:num>
  <w:num w:numId="28" w16cid:durableId="1531644946">
    <w:abstractNumId w:val="17"/>
  </w:num>
  <w:num w:numId="29" w16cid:durableId="1041058657">
    <w:abstractNumId w:val="7"/>
  </w:num>
  <w:num w:numId="30" w16cid:durableId="1550609080">
    <w:abstractNumId w:val="16"/>
  </w:num>
  <w:num w:numId="31" w16cid:durableId="1181777401">
    <w:abstractNumId w:val="6"/>
  </w:num>
  <w:num w:numId="32" w16cid:durableId="1852598452">
    <w:abstractNumId w:val="29"/>
  </w:num>
  <w:num w:numId="33" w16cid:durableId="328556178">
    <w:abstractNumId w:val="30"/>
  </w:num>
  <w:num w:numId="34" w16cid:durableId="1003439844">
    <w:abstractNumId w:val="26"/>
  </w:num>
  <w:num w:numId="35" w16cid:durableId="13092863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78"/>
    <w:rsid w:val="00011827"/>
    <w:rsid w:val="0003476B"/>
    <w:rsid w:val="00043E47"/>
    <w:rsid w:val="00063E09"/>
    <w:rsid w:val="000766E4"/>
    <w:rsid w:val="00077D16"/>
    <w:rsid w:val="000B6A62"/>
    <w:rsid w:val="000C1B01"/>
    <w:rsid w:val="00135E4C"/>
    <w:rsid w:val="00146EF8"/>
    <w:rsid w:val="00160568"/>
    <w:rsid w:val="001668DA"/>
    <w:rsid w:val="001A41AC"/>
    <w:rsid w:val="001E0058"/>
    <w:rsid w:val="001E12FF"/>
    <w:rsid w:val="00205E9E"/>
    <w:rsid w:val="0021196A"/>
    <w:rsid w:val="00216733"/>
    <w:rsid w:val="00217A23"/>
    <w:rsid w:val="00237265"/>
    <w:rsid w:val="00242DCE"/>
    <w:rsid w:val="00244458"/>
    <w:rsid w:val="002602AC"/>
    <w:rsid w:val="00262BA3"/>
    <w:rsid w:val="002B78CF"/>
    <w:rsid w:val="002E1780"/>
    <w:rsid w:val="002F171C"/>
    <w:rsid w:val="003302B7"/>
    <w:rsid w:val="00345DE4"/>
    <w:rsid w:val="003753E5"/>
    <w:rsid w:val="003979CE"/>
    <w:rsid w:val="003E3840"/>
    <w:rsid w:val="0042238B"/>
    <w:rsid w:val="00445FCD"/>
    <w:rsid w:val="0049091D"/>
    <w:rsid w:val="004B2099"/>
    <w:rsid w:val="004C13EF"/>
    <w:rsid w:val="004F3084"/>
    <w:rsid w:val="004F551E"/>
    <w:rsid w:val="00506ADF"/>
    <w:rsid w:val="00546536"/>
    <w:rsid w:val="0059009F"/>
    <w:rsid w:val="006067CC"/>
    <w:rsid w:val="006236EF"/>
    <w:rsid w:val="00626374"/>
    <w:rsid w:val="006561F8"/>
    <w:rsid w:val="0067141B"/>
    <w:rsid w:val="006B1748"/>
    <w:rsid w:val="006B730B"/>
    <w:rsid w:val="006C5291"/>
    <w:rsid w:val="006C79F7"/>
    <w:rsid w:val="006E6D4A"/>
    <w:rsid w:val="007269E6"/>
    <w:rsid w:val="00735C53"/>
    <w:rsid w:val="00764C51"/>
    <w:rsid w:val="007727D5"/>
    <w:rsid w:val="0079500B"/>
    <w:rsid w:val="007B39A2"/>
    <w:rsid w:val="007C5786"/>
    <w:rsid w:val="007D5445"/>
    <w:rsid w:val="008076BC"/>
    <w:rsid w:val="00816D97"/>
    <w:rsid w:val="0082475D"/>
    <w:rsid w:val="00830507"/>
    <w:rsid w:val="00846DD7"/>
    <w:rsid w:val="00860917"/>
    <w:rsid w:val="00880644"/>
    <w:rsid w:val="008901E7"/>
    <w:rsid w:val="008E705A"/>
    <w:rsid w:val="008F3F30"/>
    <w:rsid w:val="00911F18"/>
    <w:rsid w:val="00924128"/>
    <w:rsid w:val="009473DE"/>
    <w:rsid w:val="009650CF"/>
    <w:rsid w:val="009C7C52"/>
    <w:rsid w:val="009D312A"/>
    <w:rsid w:val="00A2643C"/>
    <w:rsid w:val="00A5396F"/>
    <w:rsid w:val="00AB6721"/>
    <w:rsid w:val="00AC2B6E"/>
    <w:rsid w:val="00AD4DE3"/>
    <w:rsid w:val="00AD7B70"/>
    <w:rsid w:val="00AF2F5A"/>
    <w:rsid w:val="00B23A4D"/>
    <w:rsid w:val="00B472CC"/>
    <w:rsid w:val="00B638C0"/>
    <w:rsid w:val="00B642E6"/>
    <w:rsid w:val="00B768E6"/>
    <w:rsid w:val="00B7733E"/>
    <w:rsid w:val="00BA15F4"/>
    <w:rsid w:val="00BA1651"/>
    <w:rsid w:val="00BD4478"/>
    <w:rsid w:val="00C40599"/>
    <w:rsid w:val="00C43D46"/>
    <w:rsid w:val="00C517FA"/>
    <w:rsid w:val="00C539F4"/>
    <w:rsid w:val="00C542CF"/>
    <w:rsid w:val="00C5651B"/>
    <w:rsid w:val="00C568C9"/>
    <w:rsid w:val="00C5758B"/>
    <w:rsid w:val="00C6462C"/>
    <w:rsid w:val="00C74264"/>
    <w:rsid w:val="00C9064A"/>
    <w:rsid w:val="00C90F63"/>
    <w:rsid w:val="00C97CBE"/>
    <w:rsid w:val="00CB55EE"/>
    <w:rsid w:val="00CC3028"/>
    <w:rsid w:val="00CD5A74"/>
    <w:rsid w:val="00CF430E"/>
    <w:rsid w:val="00D00A6E"/>
    <w:rsid w:val="00D01BE8"/>
    <w:rsid w:val="00D02D12"/>
    <w:rsid w:val="00D04670"/>
    <w:rsid w:val="00D10CBF"/>
    <w:rsid w:val="00D23E7C"/>
    <w:rsid w:val="00D268EA"/>
    <w:rsid w:val="00D510FD"/>
    <w:rsid w:val="00D74615"/>
    <w:rsid w:val="00DA5981"/>
    <w:rsid w:val="00DC1BD4"/>
    <w:rsid w:val="00DE7531"/>
    <w:rsid w:val="00E5696C"/>
    <w:rsid w:val="00E63A6F"/>
    <w:rsid w:val="00E7785F"/>
    <w:rsid w:val="00ED523C"/>
    <w:rsid w:val="00ED5378"/>
    <w:rsid w:val="00EE097B"/>
    <w:rsid w:val="00F001DA"/>
    <w:rsid w:val="00F761B7"/>
    <w:rsid w:val="00F81BB7"/>
    <w:rsid w:val="00F90D50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D54EE"/>
  <w15:docId w15:val="{F8B167C5-8387-4AD3-8AC0-FE05948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aire.com/pdf/natural_ga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nsf.org/apps/group_public/download.php/3604/NSF_49-08e-rep-watermarked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labs/BMBL.html?CDC_AA_refVal=https%3A%2F%2Fwww.cdc.gov%2Fbiosafety%2Fpublications%2Fbmbl5%2F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akerco.com/sites/default/files/Technical%20Bulletin%20(05-20-05)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B9B1-9049-4F91-A678-4BF8D9F8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Richard John</dc:creator>
  <cp:lastModifiedBy>Linda Ritter</cp:lastModifiedBy>
  <cp:revision>6</cp:revision>
  <cp:lastPrinted>2013-07-08T17:10:00Z</cp:lastPrinted>
  <dcterms:created xsi:type="dcterms:W3CDTF">2020-04-30T16:12:00Z</dcterms:created>
  <dcterms:modified xsi:type="dcterms:W3CDTF">2023-05-23T19:47:00Z</dcterms:modified>
</cp:coreProperties>
</file>