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459" w14:textId="38295704" w:rsidR="003463E1" w:rsidRPr="00C27182" w:rsidRDefault="001B46AF" w:rsidP="00C27182">
      <w:pPr>
        <w:pStyle w:val="Title"/>
        <w:spacing w:after="16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C27182">
        <w:rPr>
          <w:rFonts w:asciiTheme="minorHAnsi" w:eastAsiaTheme="minorEastAsia" w:hAnsiTheme="minorHAnsi" w:cstheme="minorHAnsi"/>
          <w:b/>
          <w:bCs/>
          <w:sz w:val="28"/>
          <w:szCs w:val="28"/>
        </w:rPr>
        <w:t>Guide to Material Transfer Agreements (MTA)</w:t>
      </w:r>
    </w:p>
    <w:p w14:paraId="0D19E991" w14:textId="57791F4D" w:rsidR="001B46AF" w:rsidRPr="00FB7A4E" w:rsidRDefault="00C022A5" w:rsidP="00C27182">
      <w:pPr>
        <w:pStyle w:val="Heading1"/>
        <w:spacing w:before="0" w:after="160" w:line="24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FB7A4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Purpose of a</w:t>
      </w:r>
      <w:r w:rsidR="00E54967" w:rsidRPr="00FB7A4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3463E1" w:rsidRPr="00FB7A4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M</w:t>
      </w:r>
      <w:r w:rsidR="00C35E0E" w:rsidRPr="00FB7A4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aterial Transfer Agreement</w:t>
      </w:r>
      <w:r w:rsidRPr="00FB7A4E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:</w:t>
      </w:r>
    </w:p>
    <w:p w14:paraId="2D5CD382" w14:textId="05A44A68" w:rsidR="00F72AFA" w:rsidRPr="00C27182" w:rsidRDefault="00F72AFA" w:rsidP="00C27182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hAnsiTheme="minorHAnsi" w:cstheme="minorHAnsi"/>
        </w:rPr>
        <w:t>To limit any potential liability on the part of the University or its faculty.</w:t>
      </w:r>
    </w:p>
    <w:p w14:paraId="3440B347" w14:textId="46FD6CF9" w:rsidR="003463E1" w:rsidRPr="00C27182" w:rsidRDefault="003463E1" w:rsidP="00C27182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limit whether or to whom the material is forwarded or shared by the </w:t>
      </w:r>
      <w:r w:rsidR="00C022A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recipient.</w:t>
      </w:r>
    </w:p>
    <w:p w14:paraId="312A69A9" w14:textId="57D5FAA5" w:rsidR="003463E1" w:rsidRPr="00C27182" w:rsidRDefault="003463E1" w:rsidP="00C27182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To review any publications by the recipient relating to the use of the material prior to publication</w:t>
      </w:r>
      <w:r w:rsidR="00C2718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3243B15" w14:textId="1E0B25B6" w:rsidR="003463E1" w:rsidRPr="00C27182" w:rsidRDefault="003463E1" w:rsidP="00C27182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To limit how the material will be used by the</w:t>
      </w:r>
      <w:r w:rsidR="00C06459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recipient.</w:t>
      </w:r>
    </w:p>
    <w:p w14:paraId="5FFB616E" w14:textId="72483995" w:rsidR="003463E1" w:rsidRPr="00C27182" w:rsidRDefault="003463E1" w:rsidP="00C27182">
      <w:pPr>
        <w:pStyle w:val="ListParagraph"/>
        <w:numPr>
          <w:ilvl w:val="0"/>
          <w:numId w:val="1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To protect the ownership or potential patentability of the material or any derivatives of the material</w:t>
      </w:r>
      <w:r w:rsidR="00C2718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AB4647D" w14:textId="1890B518" w:rsidR="00C022A5" w:rsidRPr="00C27182" w:rsidRDefault="00E54967" w:rsidP="00C27182">
      <w:pPr>
        <w:pStyle w:val="Heading1"/>
        <w:spacing w:before="0" w:after="16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Necessity for a Material Transfer Agreement</w:t>
      </w:r>
      <w:r w:rsidR="006F28F3"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25599B7C" w14:textId="66988C07" w:rsidR="00E22AF4" w:rsidRPr="00C27182" w:rsidRDefault="001B46AF" w:rsidP="00C27182">
      <w:pPr>
        <w:spacing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C27182">
        <w:rPr>
          <w:rFonts w:cstheme="minorHAnsi"/>
          <w:sz w:val="24"/>
          <w:szCs w:val="24"/>
        </w:rPr>
        <w:t>An MTA is</w:t>
      </w:r>
      <w:r w:rsidR="00E54967" w:rsidRPr="00C27182">
        <w:rPr>
          <w:rFonts w:cstheme="minorHAnsi"/>
          <w:sz w:val="24"/>
          <w:szCs w:val="24"/>
        </w:rPr>
        <w:t xml:space="preserve"> </w:t>
      </w:r>
      <w:r w:rsidRPr="00C27182">
        <w:rPr>
          <w:rFonts w:cstheme="minorHAnsi"/>
          <w:sz w:val="24"/>
          <w:szCs w:val="24"/>
        </w:rPr>
        <w:t xml:space="preserve">typically required </w:t>
      </w:r>
      <w:r w:rsidR="00AD0D85" w:rsidRPr="00C27182">
        <w:rPr>
          <w:rFonts w:cstheme="minorHAnsi"/>
          <w:sz w:val="24"/>
          <w:szCs w:val="24"/>
        </w:rPr>
        <w:t>prior to shipment</w:t>
      </w:r>
      <w:r w:rsidR="00E22AF4" w:rsidRPr="00C2718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when the material </w:t>
      </w:r>
      <w:r w:rsidR="00544271" w:rsidRPr="00C27182">
        <w:rPr>
          <w:rFonts w:eastAsiaTheme="minorEastAsia" w:cstheme="minorHAnsi"/>
          <w:color w:val="000000" w:themeColor="text1"/>
          <w:kern w:val="24"/>
          <w:sz w:val="24"/>
          <w:szCs w:val="24"/>
        </w:rPr>
        <w:t>represents</w:t>
      </w:r>
      <w:r w:rsidR="00E22AF4" w:rsidRPr="00C2718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one or more of the following conditions.</w:t>
      </w:r>
    </w:p>
    <w:p w14:paraId="0E188A52" w14:textId="5165C9B8" w:rsidR="00AD0D85" w:rsidRPr="00C27182" w:rsidRDefault="00E54967" w:rsidP="00C27182">
      <w:pPr>
        <w:pStyle w:val="ListParagraph"/>
        <w:numPr>
          <w:ilvl w:val="0"/>
          <w:numId w:val="7"/>
        </w:numPr>
        <w:spacing w:after="1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materials are 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tissues, </w:t>
      </w:r>
      <w:r w:rsidR="00E53377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fluids,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</w:t>
      </w: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other 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samples</w:t>
      </w:r>
      <w:r w:rsidR="00544271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human </w:t>
      </w:r>
      <w:r w:rsidR="00681990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origin.</w:t>
      </w:r>
    </w:p>
    <w:p w14:paraId="5E7F202A" w14:textId="0B9CD560" w:rsidR="00AD0D85" w:rsidRPr="00C27182" w:rsidRDefault="00E54967" w:rsidP="00C27182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material 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contain</w:t>
      </w:r>
      <w:r w:rsidR="00080EFA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pathogens or other harmful biological</w:t>
      </w:r>
      <w:r w:rsidR="0005623F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 </w:t>
      </w:r>
      <w:r w:rsidR="00C022A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chemical agents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subject to special guidelines and/or </w:t>
      </w:r>
      <w:r w:rsidR="00681990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procedures.</w:t>
      </w:r>
    </w:p>
    <w:p w14:paraId="4E01C3D3" w14:textId="2B25A474" w:rsidR="00AD0D85" w:rsidRPr="00C27182" w:rsidRDefault="00B60219" w:rsidP="00C27182">
      <w:pPr>
        <w:pStyle w:val="ListParagraph"/>
        <w:numPr>
          <w:ilvl w:val="0"/>
          <w:numId w:val="7"/>
        </w:numPr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The material is</w:t>
      </w:r>
      <w:r w:rsidR="001B46AF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1D7433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described in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WSU Invention </w:t>
      </w:r>
      <w:r w:rsidR="00681990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Disclosure, WSU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patent</w:t>
      </w:r>
      <w:r w:rsidR="00AD0D85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application or </w:t>
      </w:r>
      <w:r w:rsidR="00C06459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issued </w:t>
      </w:r>
      <w:r w:rsidR="00681990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patent.</w:t>
      </w:r>
    </w:p>
    <w:p w14:paraId="28D98A04" w14:textId="3315D0E4" w:rsidR="00080EFA" w:rsidRPr="00C27182" w:rsidRDefault="00080EFA" w:rsidP="00C27182">
      <w:pPr>
        <w:pStyle w:val="ListParagraph"/>
        <w:numPr>
          <w:ilvl w:val="0"/>
          <w:numId w:val="7"/>
        </w:numPr>
        <w:spacing w:after="1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Represents intellectual property licensed by WSU to another </w:t>
      </w:r>
      <w:r w:rsidR="00B60219" w:rsidRPr="00C27182">
        <w:rPr>
          <w:rFonts w:asciiTheme="minorHAnsi" w:eastAsiaTheme="minorEastAsia" w:hAnsiTheme="minorHAnsi" w:cstheme="minorHAnsi"/>
          <w:color w:val="000000" w:themeColor="text1"/>
          <w:kern w:val="24"/>
        </w:rPr>
        <w:t>party.</w:t>
      </w:r>
    </w:p>
    <w:p w14:paraId="553BD2BB" w14:textId="304D39BE" w:rsidR="00B60219" w:rsidRPr="00C27182" w:rsidRDefault="00B60219" w:rsidP="00C27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</w:rPr>
      </w:pPr>
      <w:r w:rsidRPr="00C27182">
        <w:rPr>
          <w:rFonts w:asciiTheme="minorHAnsi" w:eastAsiaTheme="minorEastAsia" w:hAnsiTheme="minorHAnsi" w:cstheme="minorHAnsi"/>
        </w:rPr>
        <w:t xml:space="preserve">Was received from another party (Exception: </w:t>
      </w:r>
      <w:r w:rsidRPr="00C27182">
        <w:rPr>
          <w:rFonts w:asciiTheme="minorHAnsi" w:hAnsiTheme="minorHAnsi" w:cstheme="minorHAnsi"/>
        </w:rPr>
        <w:t xml:space="preserve">Materials being transferred under an existing agreement that </w:t>
      </w:r>
      <w:r w:rsidRPr="00C27182">
        <w:rPr>
          <w:rFonts w:asciiTheme="minorHAnsi" w:hAnsiTheme="minorHAnsi" w:cstheme="minorHAnsi"/>
          <w:u w:val="single"/>
        </w:rPr>
        <w:t>specifically provides for such transfer</w:t>
      </w:r>
      <w:r w:rsidRPr="00C27182">
        <w:rPr>
          <w:rFonts w:asciiTheme="minorHAnsi" w:hAnsiTheme="minorHAnsi" w:cstheme="minorHAnsi"/>
        </w:rPr>
        <w:t xml:space="preserve"> </w:t>
      </w:r>
      <w:r w:rsidR="005D4E3E">
        <w:rPr>
          <w:rFonts w:asciiTheme="minorHAnsi" w:hAnsiTheme="minorHAnsi" w:cstheme="minorHAnsi"/>
        </w:rPr>
        <w:t>(</w:t>
      </w:r>
      <w:r w:rsidRPr="00C27182">
        <w:rPr>
          <w:rFonts w:asciiTheme="minorHAnsi" w:hAnsiTheme="minorHAnsi" w:cstheme="minorHAnsi"/>
        </w:rPr>
        <w:t xml:space="preserve">such as a Collaborative Agreement or </w:t>
      </w:r>
      <w:r w:rsidR="005D4E3E">
        <w:rPr>
          <w:rFonts w:asciiTheme="minorHAnsi" w:hAnsiTheme="minorHAnsi" w:cstheme="minorHAnsi"/>
        </w:rPr>
        <w:t>Non-Disclosure Agreement</w:t>
      </w:r>
      <w:r w:rsidRPr="00C27182">
        <w:rPr>
          <w:rFonts w:asciiTheme="minorHAnsi" w:hAnsiTheme="minorHAnsi" w:cstheme="minorHAnsi"/>
        </w:rPr>
        <w:t>) do not require an additional MTA</w:t>
      </w:r>
      <w:r w:rsidR="00C27182">
        <w:rPr>
          <w:rFonts w:asciiTheme="minorHAnsi" w:hAnsiTheme="minorHAnsi" w:cstheme="minorHAnsi"/>
        </w:rPr>
        <w:t>.</w:t>
      </w:r>
    </w:p>
    <w:p w14:paraId="1299B525" w14:textId="4F654C53" w:rsidR="006F28F3" w:rsidRPr="00C27182" w:rsidRDefault="00B65FAF" w:rsidP="00C271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27182">
        <w:rPr>
          <w:rFonts w:cstheme="minorHAnsi"/>
          <w:sz w:val="24"/>
          <w:szCs w:val="24"/>
        </w:rPr>
        <w:t xml:space="preserve">Please contact </w:t>
      </w:r>
      <w:hyperlink r:id="rId7" w:history="1">
        <w:r w:rsidRPr="00C27182">
          <w:rPr>
            <w:rStyle w:val="Hyperlink"/>
            <w:rFonts w:cstheme="minorHAnsi"/>
            <w:sz w:val="24"/>
            <w:szCs w:val="24"/>
          </w:rPr>
          <w:t>MTAinfo@wayne.edu</w:t>
        </w:r>
      </w:hyperlink>
      <w:r w:rsidRPr="00C27182">
        <w:rPr>
          <w:rFonts w:cstheme="minorHAnsi"/>
          <w:sz w:val="24"/>
          <w:szCs w:val="24"/>
        </w:rPr>
        <w:t xml:space="preserve"> if you have any questions</w:t>
      </w:r>
      <w:r w:rsidR="00B60219" w:rsidRPr="00C27182">
        <w:rPr>
          <w:rFonts w:cstheme="minorHAnsi"/>
          <w:sz w:val="24"/>
          <w:szCs w:val="24"/>
        </w:rPr>
        <w:t xml:space="preserve"> regarding required MTAs</w:t>
      </w:r>
      <w:r w:rsidRPr="00C27182">
        <w:rPr>
          <w:rFonts w:cstheme="minorHAnsi"/>
          <w:sz w:val="24"/>
          <w:szCs w:val="24"/>
        </w:rPr>
        <w:t xml:space="preserve"> </w:t>
      </w:r>
      <w:r w:rsidR="00B60219" w:rsidRPr="00C27182">
        <w:rPr>
          <w:rFonts w:cstheme="minorHAnsi"/>
          <w:sz w:val="24"/>
          <w:szCs w:val="24"/>
        </w:rPr>
        <w:t xml:space="preserve">or the applicability of other agreements covering the transfer of materials. </w:t>
      </w:r>
      <w:r w:rsidR="00681990" w:rsidRPr="00C27182">
        <w:rPr>
          <w:rFonts w:cstheme="minorHAnsi"/>
          <w:sz w:val="24"/>
          <w:szCs w:val="24"/>
        </w:rPr>
        <w:t xml:space="preserve"> Note that </w:t>
      </w:r>
      <w:r w:rsidRPr="00C271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MTAs with other academic or non-profit research institutions can often be accomplished quickly utilizing </w:t>
      </w:r>
      <w:r w:rsidR="00681990" w:rsidRPr="00C27182">
        <w:rPr>
          <w:rStyle w:val="Hyperlink"/>
          <w:rFonts w:cstheme="minorHAnsi"/>
          <w:color w:val="auto"/>
          <w:sz w:val="24"/>
          <w:szCs w:val="24"/>
          <w:u w:val="none"/>
        </w:rPr>
        <w:t>widely accepted</w:t>
      </w:r>
      <w:r w:rsidRPr="00C271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standard</w:t>
      </w:r>
      <w:r w:rsidR="00B60219" w:rsidRPr="00C271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academic</w:t>
      </w:r>
      <w:r w:rsidRPr="00C271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agreement templates.</w:t>
      </w:r>
    </w:p>
    <w:p w14:paraId="1BA23429" w14:textId="718B0C14" w:rsidR="00136DC1" w:rsidRPr="00C27182" w:rsidRDefault="00942FCE" w:rsidP="00C27182">
      <w:pPr>
        <w:pStyle w:val="Heading1"/>
        <w:spacing w:before="0" w:after="16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When </w:t>
      </w:r>
      <w:r w:rsidR="00136DC1"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MTA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is </w:t>
      </w:r>
      <w:r w:rsidR="00136DC1"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Not Required</w:t>
      </w:r>
      <w:r w:rsidR="00B60219" w:rsidRPr="00C271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: </w:t>
      </w:r>
    </w:p>
    <w:p w14:paraId="63B281E0" w14:textId="58EF1229" w:rsidR="00136DC1" w:rsidRDefault="00136DC1" w:rsidP="00C27182">
      <w:pPr>
        <w:spacing w:line="240" w:lineRule="auto"/>
        <w:rPr>
          <w:rFonts w:cstheme="minorHAnsi"/>
          <w:sz w:val="24"/>
          <w:szCs w:val="24"/>
        </w:rPr>
      </w:pPr>
      <w:r w:rsidRPr="00C27182">
        <w:rPr>
          <w:rFonts w:cstheme="minorHAnsi"/>
          <w:sz w:val="24"/>
          <w:szCs w:val="24"/>
        </w:rPr>
        <w:t xml:space="preserve">Fee-for-service </w:t>
      </w:r>
      <w:r w:rsidR="00B60219" w:rsidRPr="00C27182">
        <w:rPr>
          <w:rFonts w:cstheme="minorHAnsi"/>
          <w:sz w:val="24"/>
          <w:szCs w:val="24"/>
        </w:rPr>
        <w:t xml:space="preserve">activities </w:t>
      </w:r>
      <w:r w:rsidR="00942FCE">
        <w:rPr>
          <w:rFonts w:cstheme="minorHAnsi"/>
          <w:sz w:val="24"/>
          <w:szCs w:val="24"/>
        </w:rPr>
        <w:t>(</w:t>
      </w:r>
      <w:r w:rsidR="00B60219" w:rsidRPr="00C27182">
        <w:rPr>
          <w:rFonts w:cstheme="minorHAnsi"/>
          <w:sz w:val="24"/>
          <w:szCs w:val="24"/>
        </w:rPr>
        <w:t>e.g.</w:t>
      </w:r>
      <w:r w:rsidR="00942FCE">
        <w:rPr>
          <w:rFonts w:cstheme="minorHAnsi"/>
          <w:sz w:val="24"/>
          <w:szCs w:val="24"/>
        </w:rPr>
        <w:t>,</w:t>
      </w:r>
      <w:r w:rsidR="00B60219" w:rsidRPr="00C27182">
        <w:rPr>
          <w:rFonts w:cstheme="minorHAnsi"/>
          <w:sz w:val="24"/>
          <w:szCs w:val="24"/>
        </w:rPr>
        <w:t xml:space="preserve"> analytical services provided by a commercial party</w:t>
      </w:r>
      <w:r w:rsidR="00942FCE">
        <w:rPr>
          <w:rFonts w:cstheme="minorHAnsi"/>
          <w:sz w:val="24"/>
          <w:szCs w:val="24"/>
        </w:rPr>
        <w:t>)</w:t>
      </w:r>
      <w:r w:rsidR="00B60219" w:rsidRPr="00C27182">
        <w:rPr>
          <w:rFonts w:cstheme="minorHAnsi"/>
          <w:sz w:val="24"/>
          <w:szCs w:val="24"/>
        </w:rPr>
        <w:t xml:space="preserve"> </w:t>
      </w:r>
      <w:r w:rsidRPr="00C27182">
        <w:rPr>
          <w:rFonts w:cstheme="minorHAnsi"/>
          <w:sz w:val="24"/>
          <w:szCs w:val="24"/>
        </w:rPr>
        <w:t>do not require</w:t>
      </w:r>
      <w:r w:rsidR="00942FCE">
        <w:rPr>
          <w:rFonts w:cstheme="minorHAnsi"/>
          <w:sz w:val="24"/>
          <w:szCs w:val="24"/>
        </w:rPr>
        <w:t xml:space="preserve"> </w:t>
      </w:r>
      <w:r w:rsidRPr="00C27182">
        <w:rPr>
          <w:rFonts w:cstheme="minorHAnsi"/>
          <w:sz w:val="24"/>
          <w:szCs w:val="24"/>
        </w:rPr>
        <w:t>MTAs</w:t>
      </w:r>
      <w:r w:rsidR="00B60219" w:rsidRPr="00C27182">
        <w:rPr>
          <w:rFonts w:cstheme="minorHAnsi"/>
          <w:sz w:val="24"/>
          <w:szCs w:val="24"/>
        </w:rPr>
        <w:t xml:space="preserve"> when</w:t>
      </w:r>
      <w:r w:rsidR="001A396A" w:rsidRPr="00C27182">
        <w:rPr>
          <w:rFonts w:cstheme="minorHAnsi"/>
          <w:sz w:val="24"/>
          <w:szCs w:val="24"/>
        </w:rPr>
        <w:t xml:space="preserve"> the</w:t>
      </w:r>
      <w:r w:rsidR="00B60219" w:rsidRPr="00C27182">
        <w:rPr>
          <w:rFonts w:cstheme="minorHAnsi"/>
          <w:sz w:val="24"/>
          <w:szCs w:val="24"/>
        </w:rPr>
        <w:t xml:space="preserve"> c</w:t>
      </w:r>
      <w:r w:rsidRPr="00C27182">
        <w:rPr>
          <w:rFonts w:cstheme="minorHAnsi"/>
          <w:sz w:val="24"/>
          <w:szCs w:val="24"/>
        </w:rPr>
        <w:t xml:space="preserve">ontracted lab </w:t>
      </w:r>
      <w:r w:rsidR="001A396A" w:rsidRPr="00C27182">
        <w:rPr>
          <w:rFonts w:cstheme="minorHAnsi"/>
          <w:sz w:val="24"/>
          <w:szCs w:val="24"/>
        </w:rPr>
        <w:t>simply</w:t>
      </w:r>
      <w:r w:rsidRPr="00C27182">
        <w:rPr>
          <w:rFonts w:cstheme="minorHAnsi"/>
          <w:sz w:val="24"/>
          <w:szCs w:val="24"/>
        </w:rPr>
        <w:t xml:space="preserve"> performs the service and </w:t>
      </w:r>
      <w:r w:rsidR="001A396A" w:rsidRPr="00C27182">
        <w:rPr>
          <w:rFonts w:cstheme="minorHAnsi"/>
          <w:sz w:val="24"/>
          <w:szCs w:val="24"/>
        </w:rPr>
        <w:t xml:space="preserve">provides the data to the </w:t>
      </w:r>
      <w:r w:rsidRPr="00C27182">
        <w:rPr>
          <w:rFonts w:cstheme="minorHAnsi"/>
          <w:sz w:val="24"/>
          <w:szCs w:val="24"/>
        </w:rPr>
        <w:t xml:space="preserve">investigator. The investigator does not transfer any rights or ownership to the material or </w:t>
      </w:r>
      <w:r w:rsidR="005D4E3E">
        <w:rPr>
          <w:rFonts w:cstheme="minorHAnsi"/>
          <w:sz w:val="24"/>
          <w:szCs w:val="24"/>
        </w:rPr>
        <w:t xml:space="preserve">the </w:t>
      </w:r>
      <w:r w:rsidRPr="00C27182">
        <w:rPr>
          <w:rFonts w:cstheme="minorHAnsi"/>
          <w:sz w:val="24"/>
          <w:szCs w:val="24"/>
        </w:rPr>
        <w:t>results to the contracted lab.</w:t>
      </w:r>
    </w:p>
    <w:p w14:paraId="375CE143" w14:textId="77777777" w:rsidR="00037A57" w:rsidRPr="00C27182" w:rsidRDefault="00037A57" w:rsidP="00C27182">
      <w:pPr>
        <w:spacing w:line="240" w:lineRule="auto"/>
        <w:rPr>
          <w:rFonts w:cstheme="minorHAnsi"/>
          <w:sz w:val="24"/>
          <w:szCs w:val="24"/>
        </w:rPr>
      </w:pPr>
    </w:p>
    <w:p w14:paraId="2278E81F" w14:textId="787C0D0B" w:rsidR="003463E1" w:rsidRPr="00C27182" w:rsidRDefault="0048135A" w:rsidP="00C27182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C27182">
        <w:rPr>
          <w:rFonts w:asciiTheme="minorHAnsi" w:hAnsiTheme="minorHAnsi" w:cstheme="minorHAnsi"/>
        </w:rPr>
        <w:t xml:space="preserve">*Materials include, but </w:t>
      </w:r>
      <w:r w:rsidR="00942FCE">
        <w:rPr>
          <w:rFonts w:asciiTheme="minorHAnsi" w:hAnsiTheme="minorHAnsi" w:cstheme="minorHAnsi"/>
        </w:rPr>
        <w:t>are</w:t>
      </w:r>
      <w:r w:rsidRPr="00C27182">
        <w:rPr>
          <w:rFonts w:asciiTheme="minorHAnsi" w:hAnsiTheme="minorHAnsi" w:cstheme="minorHAnsi"/>
        </w:rPr>
        <w:t xml:space="preserve"> not limited to</w:t>
      </w:r>
      <w:r w:rsidRPr="00C27182">
        <w:rPr>
          <w:rFonts w:asciiTheme="minorHAnsi" w:hAnsiTheme="minorHAnsi" w:cstheme="minorHAnsi"/>
          <w:color w:val="000000" w:themeColor="text1"/>
        </w:rPr>
        <w:t xml:space="preserve">, biologics </w:t>
      </w:r>
      <w:r w:rsidR="00FF1847" w:rsidRPr="00C27182">
        <w:rPr>
          <w:rFonts w:asciiTheme="minorHAnsi" w:hAnsiTheme="minorHAnsi" w:cstheme="minorHAnsi"/>
          <w:color w:val="000000" w:themeColor="text1"/>
        </w:rPr>
        <w:t>and biological</w:t>
      </w:r>
      <w:r w:rsidRPr="00C27182">
        <w:rPr>
          <w:rFonts w:asciiTheme="minorHAnsi" w:hAnsiTheme="minorHAnsi" w:cstheme="minorHAnsi"/>
          <w:color w:val="000000" w:themeColor="text1"/>
        </w:rPr>
        <w:t xml:space="preserve"> samples, reagents, cell lines, plasmids, vectors, and chemical compounds</w:t>
      </w:r>
      <w:r w:rsidR="00C27182">
        <w:rPr>
          <w:rFonts w:asciiTheme="minorHAnsi" w:hAnsiTheme="minorHAnsi" w:cstheme="minorHAnsi"/>
          <w:color w:val="000000" w:themeColor="text1"/>
        </w:rPr>
        <w:t>.</w:t>
      </w:r>
    </w:p>
    <w:sectPr w:rsidR="003463E1" w:rsidRPr="00C271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2E6F" w14:textId="77777777" w:rsidR="00380909" w:rsidRDefault="00380909" w:rsidP="006C4526">
      <w:pPr>
        <w:spacing w:after="0" w:line="240" w:lineRule="auto"/>
      </w:pPr>
      <w:r>
        <w:separator/>
      </w:r>
    </w:p>
  </w:endnote>
  <w:endnote w:type="continuationSeparator" w:id="0">
    <w:p w14:paraId="34D6163F" w14:textId="77777777" w:rsidR="00380909" w:rsidRDefault="00380909" w:rsidP="006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E684" w14:textId="323A7AAF" w:rsidR="006C4526" w:rsidRPr="005C34DD" w:rsidRDefault="005C34DD">
    <w:pPr>
      <w:pStyle w:val="Footer"/>
      <w:rPr>
        <w:sz w:val="20"/>
        <w:szCs w:val="20"/>
      </w:rPr>
    </w:pPr>
    <w:r w:rsidRPr="005C34DD">
      <w:rPr>
        <w:sz w:val="20"/>
        <w:szCs w:val="20"/>
      </w:rPr>
      <w:t>Revision February 22,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57C7" w14:textId="77777777" w:rsidR="00380909" w:rsidRDefault="00380909" w:rsidP="006C4526">
      <w:pPr>
        <w:spacing w:after="0" w:line="240" w:lineRule="auto"/>
      </w:pPr>
      <w:r>
        <w:separator/>
      </w:r>
    </w:p>
  </w:footnote>
  <w:footnote w:type="continuationSeparator" w:id="0">
    <w:p w14:paraId="2E1E1FC2" w14:textId="77777777" w:rsidR="00380909" w:rsidRDefault="00380909" w:rsidP="006C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E2"/>
    <w:multiLevelType w:val="hybridMultilevel"/>
    <w:tmpl w:val="25C41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09B"/>
    <w:multiLevelType w:val="hybridMultilevel"/>
    <w:tmpl w:val="65C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3D9"/>
    <w:multiLevelType w:val="hybridMultilevel"/>
    <w:tmpl w:val="066464B8"/>
    <w:lvl w:ilvl="0" w:tplc="C278EF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5AD"/>
    <w:multiLevelType w:val="hybridMultilevel"/>
    <w:tmpl w:val="2586E058"/>
    <w:lvl w:ilvl="0" w:tplc="400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EE5"/>
    <w:multiLevelType w:val="hybridMultilevel"/>
    <w:tmpl w:val="5DD8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6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222A66"/>
    <w:multiLevelType w:val="hybridMultilevel"/>
    <w:tmpl w:val="6642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6C7"/>
    <w:multiLevelType w:val="hybridMultilevel"/>
    <w:tmpl w:val="01347E28"/>
    <w:lvl w:ilvl="0" w:tplc="C278EFD4">
      <w:start w:val="1"/>
      <w:numFmt w:val="bullet"/>
      <w:lvlText w:val="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92266405">
    <w:abstractNumId w:val="4"/>
  </w:num>
  <w:num w:numId="2" w16cid:durableId="2101675016">
    <w:abstractNumId w:val="2"/>
  </w:num>
  <w:num w:numId="3" w16cid:durableId="1560435943">
    <w:abstractNumId w:val="6"/>
  </w:num>
  <w:num w:numId="4" w16cid:durableId="947204393">
    <w:abstractNumId w:val="3"/>
  </w:num>
  <w:num w:numId="5" w16cid:durableId="1842353919">
    <w:abstractNumId w:val="1"/>
  </w:num>
  <w:num w:numId="6" w16cid:durableId="1886016531">
    <w:abstractNumId w:val="0"/>
  </w:num>
  <w:num w:numId="7" w16cid:durableId="127431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1"/>
    <w:rsid w:val="00034FA8"/>
    <w:rsid w:val="00037A57"/>
    <w:rsid w:val="00040546"/>
    <w:rsid w:val="0005623F"/>
    <w:rsid w:val="00063B89"/>
    <w:rsid w:val="00080EFA"/>
    <w:rsid w:val="00136DC1"/>
    <w:rsid w:val="001A396A"/>
    <w:rsid w:val="001B46AF"/>
    <w:rsid w:val="001D7433"/>
    <w:rsid w:val="0025229A"/>
    <w:rsid w:val="002D0FCC"/>
    <w:rsid w:val="003463E1"/>
    <w:rsid w:val="00354EF9"/>
    <w:rsid w:val="00373D54"/>
    <w:rsid w:val="00380909"/>
    <w:rsid w:val="003C033F"/>
    <w:rsid w:val="0048135A"/>
    <w:rsid w:val="004E6B5C"/>
    <w:rsid w:val="00544271"/>
    <w:rsid w:val="005C34DD"/>
    <w:rsid w:val="005D4E3E"/>
    <w:rsid w:val="00681990"/>
    <w:rsid w:val="006B28A6"/>
    <w:rsid w:val="006C4526"/>
    <w:rsid w:val="006F28F3"/>
    <w:rsid w:val="00810C2C"/>
    <w:rsid w:val="00826B9B"/>
    <w:rsid w:val="008706A8"/>
    <w:rsid w:val="008F4854"/>
    <w:rsid w:val="00942FCE"/>
    <w:rsid w:val="00A24017"/>
    <w:rsid w:val="00AD0D85"/>
    <w:rsid w:val="00AF3BE2"/>
    <w:rsid w:val="00B4201C"/>
    <w:rsid w:val="00B60219"/>
    <w:rsid w:val="00B65FAF"/>
    <w:rsid w:val="00BC699D"/>
    <w:rsid w:val="00BF122B"/>
    <w:rsid w:val="00C022A5"/>
    <w:rsid w:val="00C06459"/>
    <w:rsid w:val="00C27182"/>
    <w:rsid w:val="00C35E0E"/>
    <w:rsid w:val="00C8234B"/>
    <w:rsid w:val="00D41AD5"/>
    <w:rsid w:val="00D66C16"/>
    <w:rsid w:val="00DF4FAE"/>
    <w:rsid w:val="00E22AF4"/>
    <w:rsid w:val="00E53377"/>
    <w:rsid w:val="00E54967"/>
    <w:rsid w:val="00E74738"/>
    <w:rsid w:val="00F72AFA"/>
    <w:rsid w:val="00FB7A4E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8B65E5"/>
  <w15:chartTrackingRefBased/>
  <w15:docId w15:val="{EE98150B-0314-4C46-A9B9-BAD8C3F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463E1"/>
  </w:style>
  <w:style w:type="paragraph" w:customStyle="1" w:styleId="p2">
    <w:name w:val="p2"/>
    <w:basedOn w:val="Normal"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463E1"/>
  </w:style>
  <w:style w:type="paragraph" w:styleId="NormalWeb">
    <w:name w:val="Normal (Web)"/>
    <w:basedOn w:val="Normal"/>
    <w:uiPriority w:val="99"/>
    <w:unhideWhenUsed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26"/>
  </w:style>
  <w:style w:type="paragraph" w:styleId="Footer">
    <w:name w:val="footer"/>
    <w:basedOn w:val="Normal"/>
    <w:link w:val="FooterChar"/>
    <w:uiPriority w:val="99"/>
    <w:unhideWhenUsed/>
    <w:rsid w:val="006C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26"/>
  </w:style>
  <w:style w:type="paragraph" w:styleId="BalloonText">
    <w:name w:val="Balloon Text"/>
    <w:basedOn w:val="Normal"/>
    <w:link w:val="BalloonTextChar"/>
    <w:uiPriority w:val="99"/>
    <w:semiHidden/>
    <w:unhideWhenUsed/>
    <w:rsid w:val="00F7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1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2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9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7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7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29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Ainfo@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dunbar</dc:creator>
  <cp:keywords/>
  <dc:description/>
  <cp:lastModifiedBy>Linda Ritter</cp:lastModifiedBy>
  <cp:revision>14</cp:revision>
  <dcterms:created xsi:type="dcterms:W3CDTF">2024-02-19T21:15:00Z</dcterms:created>
  <dcterms:modified xsi:type="dcterms:W3CDTF">2024-02-22T14:49:00Z</dcterms:modified>
</cp:coreProperties>
</file>