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A9FC" w14:textId="180B6E33" w:rsidR="005355FB" w:rsidRPr="005355FB" w:rsidRDefault="00275D8E" w:rsidP="005355FB">
      <w:pPr>
        <w:pStyle w:val="Heading1"/>
        <w:spacing w:before="120" w:line="240" w:lineRule="auto"/>
        <w:jc w:val="center"/>
        <w:rPr>
          <w:rStyle w:val="BookTitle"/>
          <w:rFonts w:asciiTheme="minorHAnsi" w:hAnsiTheme="minorHAnsi" w:cstheme="minorHAnsi"/>
          <w:b/>
          <w:smallCaps w:val="0"/>
          <w:color w:val="auto"/>
          <w:spacing w:val="0"/>
          <w:sz w:val="32"/>
          <w:szCs w:val="32"/>
        </w:rPr>
      </w:pPr>
      <w:r w:rsidRPr="00F27883">
        <w:rPr>
          <w:rFonts w:asciiTheme="minorHAnsi" w:hAnsiTheme="minorHAnsi" w:cstheme="minorHAnsi"/>
          <w:b w:val="0"/>
          <w:bCs w:val="0"/>
          <w:noProof/>
          <w:kern w:val="16"/>
          <w:sz w:val="24"/>
          <w:szCs w:val="24"/>
        </w:rPr>
        <w:drawing>
          <wp:inline distT="0" distB="0" distL="0" distR="0" wp14:anchorId="1752691B" wp14:editId="4F96E94E">
            <wp:extent cx="457200" cy="457200"/>
            <wp:effectExtent l="0" t="0" r="0" b="0"/>
            <wp:docPr id="13" name="Picture 13" descr="Globally Harmonized System pictogram Indicating a chemical is an Acute Toxic, capable of causing serious adverse health effects (i.e. lethality) after a single or short-term oral, dermal, or inhalation exposure to a substance or mixture."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Style w:val="BookTitle"/>
          <w:rFonts w:asciiTheme="minorHAnsi" w:hAnsiTheme="minorHAnsi" w:cstheme="minorHAnsi"/>
          <w:b/>
          <w:smallCaps w:val="0"/>
          <w:color w:val="auto"/>
          <w:spacing w:val="0"/>
          <w:sz w:val="32"/>
          <w:szCs w:val="32"/>
        </w:rPr>
        <w:tab/>
        <w:t>Picric Acid</w:t>
      </w:r>
      <w:r>
        <w:rPr>
          <w:rStyle w:val="BookTitle"/>
          <w:rFonts w:asciiTheme="minorHAnsi" w:hAnsiTheme="minorHAnsi" w:cstheme="minorHAnsi"/>
          <w:b/>
          <w:smallCaps w:val="0"/>
          <w:color w:val="auto"/>
          <w:spacing w:val="0"/>
          <w:sz w:val="32"/>
          <w:szCs w:val="32"/>
        </w:rPr>
        <w:tab/>
      </w:r>
      <w:r>
        <w:rPr>
          <w:rStyle w:val="BookTitle"/>
          <w:rFonts w:asciiTheme="minorHAnsi" w:hAnsiTheme="minorHAnsi" w:cstheme="minorHAnsi"/>
          <w:b/>
          <w:smallCaps w:val="0"/>
          <w:color w:val="auto"/>
          <w:spacing w:val="0"/>
          <w:sz w:val="32"/>
          <w:szCs w:val="32"/>
        </w:rPr>
        <w:tab/>
      </w:r>
      <w:r w:rsidRPr="00F27883">
        <w:rPr>
          <w:rFonts w:asciiTheme="minorHAnsi" w:hAnsiTheme="minorHAnsi" w:cstheme="minorHAnsi"/>
          <w:b w:val="0"/>
          <w:bCs w:val="0"/>
          <w:noProof/>
          <w:kern w:val="16"/>
          <w:sz w:val="24"/>
          <w:szCs w:val="24"/>
        </w:rPr>
        <w:drawing>
          <wp:inline distT="0" distB="0" distL="0" distR="0" wp14:anchorId="75AD3242" wp14:editId="106DF6CE">
            <wp:extent cx="457200" cy="457200"/>
            <wp:effectExtent l="0" t="0" r="0" b="0"/>
            <wp:docPr id="11" name="Picture 11" descr="Globally Harmonized System pictogram Indicating a chemical is classified as an explosive." title="Explosiv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loding bom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3E4683">
        <w:rPr>
          <w:rStyle w:val="BookTitle"/>
          <w:rFonts w:asciiTheme="minorHAnsi" w:hAnsiTheme="minorHAnsi" w:cstheme="minorHAnsi"/>
          <w:b/>
          <w:smallCaps w:val="0"/>
          <w:color w:val="auto"/>
          <w:spacing w:val="0"/>
          <w:sz w:val="32"/>
          <w:szCs w:val="32"/>
        </w:rPr>
        <w:t xml:space="preserve"> </w:t>
      </w:r>
      <w:r w:rsidR="003E4683" w:rsidRPr="00F27883">
        <w:rPr>
          <w:rFonts w:asciiTheme="minorHAnsi" w:hAnsiTheme="minorHAnsi" w:cstheme="minorHAnsi"/>
          <w:b w:val="0"/>
          <w:bCs w:val="0"/>
          <w:noProof/>
          <w:kern w:val="16"/>
          <w:sz w:val="24"/>
          <w:szCs w:val="24"/>
        </w:rPr>
        <w:drawing>
          <wp:inline distT="0" distB="0" distL="0" distR="0" wp14:anchorId="098F4E9B" wp14:editId="59C74D00">
            <wp:extent cx="457200" cy="457200"/>
            <wp:effectExtent l="0" t="0" r="0" b="0"/>
            <wp:docPr id="8" name="Picture 8" descr="Globally Harmonized System pictogram Indicating a chemical is a Flammable Chemical"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72F1086E" w14:textId="28D44F17" w:rsidR="00ED5378" w:rsidRPr="005355FB" w:rsidRDefault="00146EF8" w:rsidP="00A073EB">
      <w:pPr>
        <w:shd w:val="clear" w:color="auto" w:fill="D9D9D9" w:themeFill="background1" w:themeFillShade="D9"/>
        <w:spacing w:before="80" w:after="80" w:line="240" w:lineRule="auto"/>
        <w:jc w:val="both"/>
        <w:rPr>
          <w:rFonts w:cstheme="minorHAnsi"/>
          <w:b/>
          <w:sz w:val="24"/>
          <w:szCs w:val="24"/>
        </w:rPr>
      </w:pPr>
      <w:r w:rsidRPr="005355FB">
        <w:rPr>
          <w:rStyle w:val="Heading1Char"/>
          <w:rFonts w:asciiTheme="minorHAnsi" w:hAnsiTheme="minorHAnsi" w:cstheme="minorHAnsi"/>
          <w:color w:val="auto"/>
          <w:sz w:val="24"/>
          <w:szCs w:val="24"/>
        </w:rPr>
        <w:t>Introduction</w:t>
      </w:r>
      <w:r w:rsidR="00ED5378" w:rsidRPr="005355FB">
        <w:rPr>
          <w:rFonts w:cstheme="minorHAnsi"/>
          <w:b/>
          <w:sz w:val="24"/>
          <w:szCs w:val="24"/>
        </w:rPr>
        <w:t xml:space="preserve"> </w:t>
      </w:r>
    </w:p>
    <w:p w14:paraId="73E7C8A6" w14:textId="0E6ABD38" w:rsidR="0053233D" w:rsidRPr="00607E9C" w:rsidRDefault="0053233D" w:rsidP="0053233D">
      <w:pPr>
        <w:autoSpaceDE w:val="0"/>
        <w:autoSpaceDN w:val="0"/>
        <w:adjustRightInd w:val="0"/>
        <w:spacing w:after="0" w:line="240" w:lineRule="auto"/>
        <w:rPr>
          <w:rFonts w:eastAsia="Times New Roman" w:cstheme="minorHAnsi"/>
          <w:iCs/>
          <w:sz w:val="24"/>
          <w:szCs w:val="24"/>
        </w:rPr>
      </w:pPr>
      <w:r w:rsidRPr="00607E9C">
        <w:rPr>
          <w:rFonts w:ascii="Calibri" w:hAnsi="Calibri" w:cs="Calibri"/>
          <w:sz w:val="24"/>
          <w:szCs w:val="24"/>
        </w:rPr>
        <w:t>Picric acid (CAS No. 88‐89‐1; 2,4,6‐trinitrophenol, picronitric acid) is a pale yellow, odorless</w:t>
      </w:r>
      <w:r w:rsidR="00C04CE7">
        <w:rPr>
          <w:rFonts w:ascii="Calibri" w:hAnsi="Calibri" w:cs="Calibri"/>
          <w:sz w:val="24"/>
          <w:szCs w:val="24"/>
        </w:rPr>
        <w:t>,</w:t>
      </w:r>
      <w:r w:rsidRPr="00607E9C">
        <w:rPr>
          <w:rFonts w:ascii="Calibri" w:hAnsi="Calibri" w:cs="Calibri"/>
          <w:sz w:val="24"/>
          <w:szCs w:val="24"/>
        </w:rPr>
        <w:t xml:space="preserve"> </w:t>
      </w:r>
      <w:r w:rsidR="00C42991" w:rsidRPr="00C42991">
        <w:rPr>
          <w:rFonts w:ascii="Calibri" w:hAnsi="Calibri" w:cs="Calibri"/>
          <w:sz w:val="24"/>
          <w:szCs w:val="24"/>
        </w:rPr>
        <w:t>crystalline organic solid</w:t>
      </w:r>
      <w:r w:rsidRPr="00607E9C">
        <w:rPr>
          <w:rFonts w:ascii="Calibri" w:hAnsi="Calibri" w:cs="Calibri"/>
          <w:sz w:val="24"/>
          <w:szCs w:val="24"/>
        </w:rPr>
        <w:t xml:space="preserve"> that is slightly soluble in water.</w:t>
      </w:r>
      <w:r w:rsidR="00141EBA">
        <w:rPr>
          <w:rFonts w:ascii="Calibri" w:hAnsi="Calibri" w:cs="Calibri"/>
          <w:sz w:val="24"/>
          <w:szCs w:val="24"/>
        </w:rPr>
        <w:t xml:space="preserve"> In research </w:t>
      </w:r>
      <w:r w:rsidR="00C04CE7">
        <w:rPr>
          <w:rFonts w:ascii="Calibri" w:hAnsi="Calibri" w:cs="Calibri"/>
          <w:sz w:val="24"/>
          <w:szCs w:val="24"/>
        </w:rPr>
        <w:t xml:space="preserve">labs, </w:t>
      </w:r>
      <w:r w:rsidR="00C04CE7" w:rsidRPr="00607E9C">
        <w:rPr>
          <w:rFonts w:ascii="Calibri" w:hAnsi="Calibri" w:cs="Calibri"/>
          <w:sz w:val="24"/>
          <w:szCs w:val="24"/>
        </w:rPr>
        <w:t>it</w:t>
      </w:r>
      <w:r w:rsidRPr="00607E9C">
        <w:rPr>
          <w:rFonts w:ascii="Calibri" w:hAnsi="Calibri" w:cs="Calibri"/>
          <w:sz w:val="24"/>
          <w:szCs w:val="24"/>
        </w:rPr>
        <w:t xml:space="preserve"> is primarily used </w:t>
      </w:r>
      <w:r w:rsidR="0089104C">
        <w:rPr>
          <w:rFonts w:ascii="Calibri" w:hAnsi="Calibri" w:cs="Calibri"/>
          <w:sz w:val="24"/>
          <w:szCs w:val="24"/>
        </w:rPr>
        <w:t>as a fixative agent</w:t>
      </w:r>
      <w:r w:rsidR="005C5B1F">
        <w:rPr>
          <w:rFonts w:ascii="Calibri" w:hAnsi="Calibri" w:cs="Calibri"/>
          <w:sz w:val="24"/>
          <w:szCs w:val="24"/>
        </w:rPr>
        <w:t xml:space="preserve">, </w:t>
      </w:r>
      <w:r w:rsidR="00C04CE7">
        <w:rPr>
          <w:rFonts w:ascii="Calibri" w:hAnsi="Calibri" w:cs="Calibri"/>
          <w:sz w:val="24"/>
          <w:szCs w:val="24"/>
        </w:rPr>
        <w:t xml:space="preserve">a </w:t>
      </w:r>
      <w:r w:rsidRPr="00607E9C">
        <w:rPr>
          <w:rFonts w:ascii="Calibri" w:hAnsi="Calibri" w:cs="Calibri"/>
          <w:sz w:val="24"/>
          <w:szCs w:val="24"/>
        </w:rPr>
        <w:t>staining reagent</w:t>
      </w:r>
      <w:r w:rsidR="005C5B1F">
        <w:rPr>
          <w:rFonts w:ascii="Calibri" w:hAnsi="Calibri" w:cs="Calibri"/>
          <w:sz w:val="24"/>
          <w:szCs w:val="24"/>
        </w:rPr>
        <w:t xml:space="preserve">, </w:t>
      </w:r>
      <w:r w:rsidR="0089104C">
        <w:rPr>
          <w:rFonts w:ascii="Calibri" w:hAnsi="Calibri" w:cs="Calibri"/>
          <w:sz w:val="24"/>
          <w:szCs w:val="24"/>
        </w:rPr>
        <w:t xml:space="preserve">in </w:t>
      </w:r>
      <w:r w:rsidR="005C5B1F" w:rsidRPr="005C5B1F">
        <w:rPr>
          <w:rFonts w:ascii="Calibri" w:hAnsi="Calibri" w:cs="Calibri"/>
          <w:sz w:val="24"/>
          <w:szCs w:val="24"/>
        </w:rPr>
        <w:t>metallography applications</w:t>
      </w:r>
      <w:r w:rsidR="005C5B1F">
        <w:rPr>
          <w:rFonts w:ascii="Calibri" w:hAnsi="Calibri" w:cs="Calibri"/>
          <w:sz w:val="24"/>
          <w:szCs w:val="24"/>
        </w:rPr>
        <w:t xml:space="preserve"> (copper etching)</w:t>
      </w:r>
      <w:r w:rsidR="00C04CE7">
        <w:rPr>
          <w:rFonts w:ascii="Calibri" w:hAnsi="Calibri" w:cs="Calibri"/>
          <w:sz w:val="24"/>
          <w:szCs w:val="24"/>
        </w:rPr>
        <w:t>,</w:t>
      </w:r>
      <w:r w:rsidR="003857DA">
        <w:rPr>
          <w:rFonts w:ascii="Calibri" w:hAnsi="Calibri" w:cs="Calibri"/>
          <w:sz w:val="24"/>
          <w:szCs w:val="24"/>
        </w:rPr>
        <w:t xml:space="preserve"> and in chemical </w:t>
      </w:r>
      <w:r w:rsidR="00C04CE7">
        <w:rPr>
          <w:rFonts w:ascii="Calibri" w:hAnsi="Calibri" w:cs="Calibri"/>
          <w:sz w:val="24"/>
          <w:szCs w:val="24"/>
        </w:rPr>
        <w:t>reactions. In</w:t>
      </w:r>
      <w:r w:rsidR="00141EBA">
        <w:rPr>
          <w:rFonts w:ascii="Calibri" w:hAnsi="Calibri" w:cs="Calibri"/>
          <w:sz w:val="24"/>
          <w:szCs w:val="24"/>
        </w:rPr>
        <w:t xml:space="preserve"> industry, picric acid is mainly used for</w:t>
      </w:r>
      <w:r w:rsidRPr="00607E9C">
        <w:rPr>
          <w:rFonts w:ascii="Calibri" w:hAnsi="Calibri" w:cs="Calibri"/>
          <w:sz w:val="24"/>
          <w:szCs w:val="24"/>
        </w:rPr>
        <w:t xml:space="preserve"> </w:t>
      </w:r>
      <w:r w:rsidR="003857DA">
        <w:rPr>
          <w:rFonts w:ascii="Calibri" w:hAnsi="Calibri" w:cs="Calibri"/>
          <w:sz w:val="24"/>
          <w:szCs w:val="24"/>
        </w:rPr>
        <w:t xml:space="preserve">production </w:t>
      </w:r>
      <w:r w:rsidR="00C04CE7">
        <w:rPr>
          <w:rFonts w:ascii="Calibri" w:hAnsi="Calibri" w:cs="Calibri"/>
          <w:sz w:val="24"/>
          <w:szCs w:val="24"/>
        </w:rPr>
        <w:t>of</w:t>
      </w:r>
      <w:r w:rsidR="00C04CE7" w:rsidRPr="00607E9C">
        <w:rPr>
          <w:rFonts w:ascii="Calibri" w:hAnsi="Calibri" w:cs="Calibri"/>
          <w:sz w:val="24"/>
          <w:szCs w:val="24"/>
        </w:rPr>
        <w:t xml:space="preserve"> </w:t>
      </w:r>
      <w:r w:rsidR="00C04CE7">
        <w:rPr>
          <w:rFonts w:ascii="Calibri" w:hAnsi="Calibri" w:cs="Calibri"/>
          <w:sz w:val="24"/>
          <w:szCs w:val="24"/>
        </w:rPr>
        <w:t>explosives</w:t>
      </w:r>
      <w:r w:rsidR="00D11394">
        <w:rPr>
          <w:rFonts w:ascii="Calibri" w:hAnsi="Calibri" w:cs="Calibri"/>
          <w:sz w:val="24"/>
          <w:szCs w:val="24"/>
        </w:rPr>
        <w:t xml:space="preserve">, matches, </w:t>
      </w:r>
      <w:r w:rsidR="00D11394" w:rsidRPr="00D11394">
        <w:rPr>
          <w:rFonts w:ascii="Calibri" w:hAnsi="Calibri" w:cs="Calibri"/>
          <w:sz w:val="24"/>
          <w:szCs w:val="24"/>
        </w:rPr>
        <w:t>electric batteries</w:t>
      </w:r>
      <w:r w:rsidR="00C42991">
        <w:rPr>
          <w:rFonts w:ascii="Calibri" w:hAnsi="Calibri" w:cs="Calibri"/>
          <w:sz w:val="24"/>
          <w:szCs w:val="24"/>
        </w:rPr>
        <w:t xml:space="preserve">, </w:t>
      </w:r>
      <w:r w:rsidR="00D11394">
        <w:rPr>
          <w:rFonts w:ascii="Calibri" w:hAnsi="Calibri" w:cs="Calibri"/>
          <w:sz w:val="24"/>
          <w:szCs w:val="24"/>
        </w:rPr>
        <w:t>dyes</w:t>
      </w:r>
      <w:r w:rsidR="00C42991">
        <w:rPr>
          <w:rFonts w:ascii="Calibri" w:hAnsi="Calibri" w:cs="Calibri"/>
          <w:sz w:val="24"/>
          <w:szCs w:val="24"/>
        </w:rPr>
        <w:t xml:space="preserve"> and in </w:t>
      </w:r>
      <w:r w:rsidR="00C42991" w:rsidRPr="00C42991">
        <w:rPr>
          <w:rFonts w:ascii="Calibri" w:hAnsi="Calibri" w:cs="Calibri"/>
          <w:sz w:val="24"/>
          <w:szCs w:val="24"/>
        </w:rPr>
        <w:t xml:space="preserve">medicinal </w:t>
      </w:r>
      <w:r w:rsidR="00C04CE7" w:rsidRPr="00C42991">
        <w:rPr>
          <w:rFonts w:ascii="Calibri" w:hAnsi="Calibri" w:cs="Calibri"/>
          <w:sz w:val="24"/>
          <w:szCs w:val="24"/>
        </w:rPr>
        <w:t>formulations</w:t>
      </w:r>
      <w:r w:rsidR="00C04CE7">
        <w:rPr>
          <w:rFonts w:ascii="Calibri" w:hAnsi="Calibri" w:cs="Calibri"/>
          <w:sz w:val="24"/>
          <w:szCs w:val="24"/>
        </w:rPr>
        <w:t>.</w:t>
      </w:r>
      <w:r w:rsidRPr="00607E9C">
        <w:rPr>
          <w:rFonts w:ascii="Calibri" w:hAnsi="Calibri" w:cs="Calibri"/>
          <w:sz w:val="24"/>
          <w:szCs w:val="24"/>
        </w:rPr>
        <w:t xml:space="preserve"> It can be purchased in various forms: for example, as a solid moistened with water (≥ 35% water), as a saturated solution in water (≈ 1.3%), as a more dilute solution in water, as a solution in ethanol, or as Bouin’s solution (which contains picric acid, formaldehyde, and acetic acid in an aqueous solution).</w:t>
      </w:r>
    </w:p>
    <w:p w14:paraId="43A64E14" w14:textId="66D4C960" w:rsidR="0053233D" w:rsidRDefault="00FB2683" w:rsidP="0053233D">
      <w:pPr>
        <w:spacing w:after="120" w:line="240" w:lineRule="auto"/>
        <w:rPr>
          <w:rFonts w:eastAsia="Times New Roman" w:cstheme="minorHAnsi"/>
          <w:i/>
          <w:sz w:val="24"/>
          <w:szCs w:val="24"/>
        </w:rPr>
      </w:pPr>
      <w:r w:rsidRPr="005355FB">
        <w:rPr>
          <w:rFonts w:eastAsia="Times New Roman" w:cstheme="minorHAnsi"/>
          <w:i/>
          <w:sz w:val="24"/>
          <w:szCs w:val="24"/>
        </w:rPr>
        <w:t xml:space="preserve">This fact sheet is not intended to replace the Safety Data Sheet </w:t>
      </w:r>
      <w:r w:rsidR="000C3C01">
        <w:rPr>
          <w:rFonts w:eastAsia="Times New Roman" w:cstheme="minorHAnsi"/>
          <w:i/>
          <w:sz w:val="24"/>
          <w:szCs w:val="24"/>
        </w:rPr>
        <w:t xml:space="preserve">(SDS) </w:t>
      </w:r>
      <w:r w:rsidRPr="005355FB">
        <w:rPr>
          <w:rFonts w:eastAsia="Times New Roman" w:cstheme="minorHAnsi"/>
          <w:i/>
          <w:sz w:val="24"/>
          <w:szCs w:val="24"/>
        </w:rPr>
        <w:t>provided by the manufacturer</w:t>
      </w:r>
      <w:r w:rsidR="0053233D">
        <w:rPr>
          <w:rFonts w:eastAsia="Times New Roman" w:cstheme="minorHAnsi"/>
          <w:i/>
          <w:sz w:val="24"/>
          <w:szCs w:val="24"/>
        </w:rPr>
        <w:t>.</w:t>
      </w:r>
    </w:p>
    <w:p w14:paraId="73AA7059" w14:textId="5E0E1B8C" w:rsidR="005355FB" w:rsidRPr="005355FB" w:rsidRDefault="005355FB" w:rsidP="0053233D">
      <w:pPr>
        <w:shd w:val="clear" w:color="auto" w:fill="D9D9D9" w:themeFill="background1" w:themeFillShade="D9"/>
        <w:spacing w:before="80" w:after="80" w:line="240" w:lineRule="auto"/>
        <w:rPr>
          <w:rFonts w:cstheme="minorHAnsi"/>
          <w:b/>
          <w:sz w:val="24"/>
          <w:szCs w:val="24"/>
        </w:rPr>
      </w:pPr>
      <w:r>
        <w:rPr>
          <w:rStyle w:val="Heading1Char"/>
          <w:rFonts w:asciiTheme="minorHAnsi" w:hAnsiTheme="minorHAnsi" w:cstheme="minorHAnsi"/>
          <w:color w:val="auto"/>
          <w:sz w:val="24"/>
          <w:szCs w:val="24"/>
        </w:rPr>
        <w:t>Hazards</w:t>
      </w:r>
    </w:p>
    <w:p w14:paraId="3BA1CA9D" w14:textId="14CFD12A" w:rsidR="00141EBA" w:rsidRPr="00141EBA" w:rsidRDefault="00607E9C" w:rsidP="00141EBA">
      <w:pPr>
        <w:tabs>
          <w:tab w:val="left" w:pos="900"/>
          <w:tab w:val="left" w:pos="1260"/>
        </w:tabs>
        <w:spacing w:after="0" w:line="240" w:lineRule="auto"/>
        <w:rPr>
          <w:rFonts w:eastAsia="Times New Roman" w:cstheme="minorHAnsi"/>
          <w:bCs/>
          <w:sz w:val="24"/>
          <w:szCs w:val="24"/>
          <w:u w:val="single"/>
        </w:rPr>
      </w:pPr>
      <w:r w:rsidRPr="00607E9C">
        <w:rPr>
          <w:rFonts w:eastAsia="Times New Roman" w:cstheme="minorHAnsi"/>
          <w:bCs/>
          <w:sz w:val="24"/>
          <w:szCs w:val="24"/>
          <w:u w:val="single"/>
        </w:rPr>
        <w:t>Potential Explosion Hazards</w:t>
      </w:r>
      <w:r w:rsidR="00141EBA">
        <w:rPr>
          <w:rFonts w:eastAsia="Times New Roman" w:cstheme="minorHAnsi"/>
          <w:bCs/>
          <w:sz w:val="24"/>
          <w:szCs w:val="24"/>
          <w:u w:val="single"/>
        </w:rPr>
        <w:t xml:space="preserve"> </w:t>
      </w:r>
    </w:p>
    <w:p w14:paraId="2F64B4F1" w14:textId="7B9DC978" w:rsidR="00AD09D0" w:rsidRDefault="00607E9C" w:rsidP="00607E9C">
      <w:pPr>
        <w:tabs>
          <w:tab w:val="left" w:pos="900"/>
          <w:tab w:val="left" w:pos="1260"/>
        </w:tabs>
        <w:spacing w:after="0" w:line="240" w:lineRule="auto"/>
        <w:rPr>
          <w:rFonts w:eastAsia="Times New Roman" w:cstheme="minorHAnsi"/>
          <w:bCs/>
          <w:sz w:val="24"/>
          <w:szCs w:val="24"/>
        </w:rPr>
      </w:pPr>
      <w:r w:rsidRPr="00607E9C">
        <w:rPr>
          <w:rFonts w:eastAsia="Times New Roman" w:cstheme="minorHAnsi"/>
          <w:bCs/>
          <w:sz w:val="24"/>
          <w:szCs w:val="24"/>
        </w:rPr>
        <w:t>Dry picric acid</w:t>
      </w:r>
      <w:r w:rsidR="005C5B1F">
        <w:rPr>
          <w:rFonts w:eastAsia="Times New Roman" w:cstheme="minorHAnsi"/>
          <w:bCs/>
          <w:sz w:val="24"/>
          <w:szCs w:val="24"/>
        </w:rPr>
        <w:t xml:space="preserve"> </w:t>
      </w:r>
      <w:r w:rsidR="005C5B1F" w:rsidRPr="005C5B1F">
        <w:rPr>
          <w:rFonts w:eastAsia="Times New Roman" w:cstheme="minorHAnsi"/>
          <w:bCs/>
          <w:sz w:val="24"/>
          <w:szCs w:val="24"/>
        </w:rPr>
        <w:t>(</w:t>
      </w:r>
      <w:r w:rsidR="005C5B1F">
        <w:rPr>
          <w:rFonts w:eastAsia="Times New Roman" w:cstheme="minorHAnsi"/>
          <w:bCs/>
          <w:sz w:val="24"/>
          <w:szCs w:val="24"/>
        </w:rPr>
        <w:t xml:space="preserve">with </w:t>
      </w:r>
      <w:r w:rsidR="005C5B1F" w:rsidRPr="005C5B1F">
        <w:rPr>
          <w:rFonts w:eastAsia="Times New Roman" w:cstheme="minorHAnsi"/>
          <w:bCs/>
          <w:sz w:val="24"/>
          <w:szCs w:val="24"/>
        </w:rPr>
        <w:t xml:space="preserve">less than </w:t>
      </w:r>
      <w:r w:rsidR="00E42211">
        <w:rPr>
          <w:rFonts w:eastAsia="Times New Roman" w:cstheme="minorHAnsi"/>
          <w:bCs/>
          <w:sz w:val="24"/>
          <w:szCs w:val="24"/>
        </w:rPr>
        <w:t>30</w:t>
      </w:r>
      <w:r w:rsidR="005C5B1F" w:rsidRPr="005C5B1F">
        <w:rPr>
          <w:rFonts w:eastAsia="Times New Roman" w:cstheme="minorHAnsi"/>
          <w:bCs/>
          <w:sz w:val="24"/>
          <w:szCs w:val="24"/>
        </w:rPr>
        <w:t>% water)</w:t>
      </w:r>
      <w:r w:rsidR="005C5B1F">
        <w:rPr>
          <w:rFonts w:eastAsia="Times New Roman" w:cstheme="minorHAnsi"/>
          <w:bCs/>
          <w:sz w:val="24"/>
          <w:szCs w:val="24"/>
        </w:rPr>
        <w:t xml:space="preserve"> </w:t>
      </w:r>
      <w:r w:rsidRPr="00607E9C">
        <w:rPr>
          <w:rFonts w:eastAsia="Times New Roman" w:cstheme="minorHAnsi"/>
          <w:bCs/>
          <w:sz w:val="24"/>
          <w:szCs w:val="24"/>
        </w:rPr>
        <w:t>is</w:t>
      </w:r>
      <w:r w:rsidR="005C5B1F">
        <w:rPr>
          <w:rFonts w:eastAsia="Times New Roman" w:cstheme="minorHAnsi"/>
          <w:bCs/>
          <w:sz w:val="24"/>
          <w:szCs w:val="24"/>
        </w:rPr>
        <w:t xml:space="preserve"> a powerful explosive and</w:t>
      </w:r>
      <w:r w:rsidRPr="00607E9C">
        <w:rPr>
          <w:rFonts w:eastAsia="Times New Roman" w:cstheme="minorHAnsi"/>
          <w:bCs/>
          <w:sz w:val="24"/>
          <w:szCs w:val="24"/>
        </w:rPr>
        <w:t xml:space="preserve"> highly sensitive to heat, shock, friction</w:t>
      </w:r>
      <w:r w:rsidR="00631BC1">
        <w:rPr>
          <w:rFonts w:eastAsia="Times New Roman" w:cstheme="minorHAnsi"/>
          <w:bCs/>
          <w:sz w:val="24"/>
          <w:szCs w:val="24"/>
        </w:rPr>
        <w:t>, and shearing forces</w:t>
      </w:r>
      <w:r w:rsidR="005C5B1F">
        <w:rPr>
          <w:rFonts w:eastAsia="Times New Roman" w:cstheme="minorHAnsi"/>
          <w:bCs/>
          <w:sz w:val="24"/>
          <w:szCs w:val="24"/>
        </w:rPr>
        <w:t xml:space="preserve">. </w:t>
      </w:r>
      <w:r w:rsidR="005C5B1F" w:rsidRPr="005C5B1F">
        <w:rPr>
          <w:rFonts w:eastAsia="Times New Roman" w:cstheme="minorHAnsi"/>
          <w:bCs/>
          <w:sz w:val="24"/>
          <w:szCs w:val="24"/>
        </w:rPr>
        <w:t>When hydrated</w:t>
      </w:r>
      <w:r w:rsidR="005C5B1F">
        <w:rPr>
          <w:rFonts w:eastAsia="Times New Roman" w:cstheme="minorHAnsi"/>
          <w:bCs/>
          <w:sz w:val="24"/>
          <w:szCs w:val="24"/>
        </w:rPr>
        <w:t xml:space="preserve"> (moistened)</w:t>
      </w:r>
      <w:r w:rsidR="005C5B1F" w:rsidRPr="005C5B1F">
        <w:rPr>
          <w:rFonts w:eastAsia="Times New Roman" w:cstheme="minorHAnsi"/>
          <w:bCs/>
          <w:sz w:val="24"/>
          <w:szCs w:val="24"/>
        </w:rPr>
        <w:t xml:space="preserve">, picric acid is typically safe to handle, </w:t>
      </w:r>
      <w:r w:rsidR="00706318">
        <w:rPr>
          <w:rFonts w:eastAsia="Times New Roman" w:cstheme="minorHAnsi"/>
          <w:bCs/>
          <w:sz w:val="24"/>
          <w:szCs w:val="24"/>
        </w:rPr>
        <w:t xml:space="preserve">and </w:t>
      </w:r>
      <w:r w:rsidRPr="00607E9C">
        <w:rPr>
          <w:rFonts w:eastAsia="Times New Roman" w:cstheme="minorHAnsi"/>
          <w:bCs/>
          <w:sz w:val="24"/>
          <w:szCs w:val="24"/>
        </w:rPr>
        <w:t xml:space="preserve">is classified as a flammable solid. </w:t>
      </w:r>
      <w:r w:rsidR="003857DA" w:rsidRPr="003857DA">
        <w:rPr>
          <w:rFonts w:eastAsia="Times New Roman" w:cstheme="minorHAnsi"/>
          <w:bCs/>
          <w:sz w:val="24"/>
          <w:szCs w:val="24"/>
        </w:rPr>
        <w:t xml:space="preserve">Picric acid is highly reactive with a wide variety of chemicals and </w:t>
      </w:r>
      <w:r w:rsidR="003857DA">
        <w:rPr>
          <w:rFonts w:eastAsia="Times New Roman" w:cstheme="minorHAnsi"/>
          <w:bCs/>
          <w:sz w:val="24"/>
          <w:szCs w:val="24"/>
        </w:rPr>
        <w:t>readily form</w:t>
      </w:r>
      <w:r w:rsidR="0018554D">
        <w:rPr>
          <w:rFonts w:eastAsia="Times New Roman" w:cstheme="minorHAnsi"/>
          <w:bCs/>
          <w:sz w:val="24"/>
          <w:szCs w:val="24"/>
        </w:rPr>
        <w:t>s</w:t>
      </w:r>
      <w:r w:rsidR="003857DA">
        <w:rPr>
          <w:rFonts w:eastAsia="Times New Roman" w:cstheme="minorHAnsi"/>
          <w:bCs/>
          <w:sz w:val="24"/>
          <w:szCs w:val="24"/>
        </w:rPr>
        <w:t xml:space="preserve"> </w:t>
      </w:r>
      <w:r w:rsidR="00141EBA">
        <w:rPr>
          <w:rFonts w:eastAsia="Times New Roman" w:cstheme="minorHAnsi"/>
          <w:bCs/>
          <w:sz w:val="24"/>
          <w:szCs w:val="24"/>
        </w:rPr>
        <w:t xml:space="preserve">picrate </w:t>
      </w:r>
      <w:r w:rsidRPr="00607E9C">
        <w:rPr>
          <w:rFonts w:eastAsia="Times New Roman" w:cstheme="minorHAnsi"/>
          <w:bCs/>
          <w:sz w:val="24"/>
          <w:szCs w:val="24"/>
        </w:rPr>
        <w:t>salts on contact with</w:t>
      </w:r>
      <w:r>
        <w:rPr>
          <w:rFonts w:eastAsia="Times New Roman" w:cstheme="minorHAnsi"/>
          <w:bCs/>
          <w:sz w:val="24"/>
          <w:szCs w:val="24"/>
        </w:rPr>
        <w:t xml:space="preserve"> </w:t>
      </w:r>
      <w:r w:rsidR="005C5B1F">
        <w:rPr>
          <w:rFonts w:eastAsia="Times New Roman" w:cstheme="minorHAnsi"/>
          <w:bCs/>
          <w:sz w:val="24"/>
          <w:szCs w:val="24"/>
        </w:rPr>
        <w:t xml:space="preserve">heavy </w:t>
      </w:r>
      <w:r w:rsidRPr="00607E9C">
        <w:rPr>
          <w:rFonts w:eastAsia="Times New Roman" w:cstheme="minorHAnsi"/>
          <w:bCs/>
          <w:sz w:val="24"/>
          <w:szCs w:val="24"/>
        </w:rPr>
        <w:t>metals (including copper, lead, mercury, zinc, nickel, and iron)</w:t>
      </w:r>
      <w:r w:rsidR="00141EBA">
        <w:rPr>
          <w:rFonts w:eastAsia="Times New Roman" w:cstheme="minorHAnsi"/>
          <w:bCs/>
          <w:sz w:val="24"/>
          <w:szCs w:val="24"/>
        </w:rPr>
        <w:t>, bases, ammonia, concreate and plaster</w:t>
      </w:r>
      <w:r w:rsidR="003857DA">
        <w:rPr>
          <w:rFonts w:eastAsia="Times New Roman" w:cstheme="minorHAnsi"/>
          <w:bCs/>
          <w:sz w:val="24"/>
          <w:szCs w:val="24"/>
        </w:rPr>
        <w:t xml:space="preserve">. The </w:t>
      </w:r>
      <w:r w:rsidR="003F0ED1">
        <w:rPr>
          <w:rFonts w:eastAsia="Times New Roman" w:cstheme="minorHAnsi"/>
          <w:bCs/>
          <w:sz w:val="24"/>
          <w:szCs w:val="24"/>
        </w:rPr>
        <w:t>p</w:t>
      </w:r>
      <w:r w:rsidR="003F0ED1" w:rsidRPr="003F0ED1">
        <w:rPr>
          <w:rFonts w:eastAsia="Times New Roman" w:cstheme="minorHAnsi"/>
          <w:bCs/>
          <w:sz w:val="24"/>
          <w:szCs w:val="24"/>
        </w:rPr>
        <w:t xml:space="preserve">icrate </w:t>
      </w:r>
      <w:r w:rsidR="00C04CE7" w:rsidRPr="003F0ED1">
        <w:rPr>
          <w:rFonts w:eastAsia="Times New Roman" w:cstheme="minorHAnsi"/>
          <w:bCs/>
          <w:sz w:val="24"/>
          <w:szCs w:val="24"/>
        </w:rPr>
        <w:t>salts</w:t>
      </w:r>
      <w:r w:rsidR="00C04CE7">
        <w:rPr>
          <w:rFonts w:eastAsia="Times New Roman" w:cstheme="minorHAnsi"/>
          <w:bCs/>
          <w:sz w:val="24"/>
          <w:szCs w:val="24"/>
        </w:rPr>
        <w:t xml:space="preserve"> formed</w:t>
      </w:r>
      <w:r w:rsidR="00141EBA">
        <w:rPr>
          <w:rFonts w:eastAsia="Times New Roman" w:cstheme="minorHAnsi"/>
          <w:bCs/>
          <w:sz w:val="24"/>
          <w:szCs w:val="24"/>
        </w:rPr>
        <w:t xml:space="preserve"> (</w:t>
      </w:r>
      <w:r w:rsidR="00C04CE7">
        <w:rPr>
          <w:rFonts w:eastAsia="Times New Roman" w:cstheme="minorHAnsi"/>
          <w:bCs/>
          <w:sz w:val="24"/>
          <w:szCs w:val="24"/>
        </w:rPr>
        <w:t>e.g.,</w:t>
      </w:r>
      <w:r w:rsidR="00141EBA">
        <w:rPr>
          <w:rFonts w:eastAsia="Times New Roman" w:cstheme="minorHAnsi"/>
          <w:bCs/>
          <w:sz w:val="24"/>
          <w:szCs w:val="24"/>
        </w:rPr>
        <w:t xml:space="preserve"> metal picrates, calcium picrate formed in contact with concrete</w:t>
      </w:r>
      <w:r w:rsidR="0018554D">
        <w:rPr>
          <w:rFonts w:eastAsia="Times New Roman" w:cstheme="minorHAnsi"/>
          <w:bCs/>
          <w:sz w:val="24"/>
          <w:szCs w:val="24"/>
        </w:rPr>
        <w:t>, etc.</w:t>
      </w:r>
      <w:r w:rsidR="00141EBA">
        <w:rPr>
          <w:rFonts w:eastAsia="Times New Roman" w:cstheme="minorHAnsi"/>
          <w:bCs/>
          <w:sz w:val="24"/>
          <w:szCs w:val="24"/>
        </w:rPr>
        <w:t>)</w:t>
      </w:r>
      <w:r w:rsidR="005C5B1F">
        <w:rPr>
          <w:rFonts w:eastAsia="Times New Roman" w:cstheme="minorHAnsi"/>
          <w:bCs/>
          <w:sz w:val="24"/>
          <w:szCs w:val="24"/>
        </w:rPr>
        <w:t xml:space="preserve"> are</w:t>
      </w:r>
      <w:r w:rsidRPr="00607E9C">
        <w:rPr>
          <w:rFonts w:eastAsia="Times New Roman" w:cstheme="minorHAnsi"/>
          <w:bCs/>
          <w:sz w:val="24"/>
          <w:szCs w:val="24"/>
        </w:rPr>
        <w:t xml:space="preserve"> more sensitive explosives</w:t>
      </w:r>
      <w:r>
        <w:rPr>
          <w:rFonts w:eastAsia="Times New Roman" w:cstheme="minorHAnsi"/>
          <w:bCs/>
          <w:sz w:val="24"/>
          <w:szCs w:val="24"/>
        </w:rPr>
        <w:t xml:space="preserve"> </w:t>
      </w:r>
      <w:r w:rsidRPr="00607E9C">
        <w:rPr>
          <w:rFonts w:eastAsia="Times New Roman" w:cstheme="minorHAnsi"/>
          <w:bCs/>
          <w:sz w:val="24"/>
          <w:szCs w:val="24"/>
        </w:rPr>
        <w:t xml:space="preserve">than </w:t>
      </w:r>
      <w:r w:rsidR="00706318">
        <w:rPr>
          <w:rFonts w:eastAsia="Times New Roman" w:cstheme="minorHAnsi"/>
          <w:bCs/>
          <w:sz w:val="24"/>
          <w:szCs w:val="24"/>
        </w:rPr>
        <w:t xml:space="preserve">dry </w:t>
      </w:r>
      <w:r w:rsidRPr="00607E9C">
        <w:rPr>
          <w:rFonts w:eastAsia="Times New Roman" w:cstheme="minorHAnsi"/>
          <w:bCs/>
          <w:sz w:val="24"/>
          <w:szCs w:val="24"/>
        </w:rPr>
        <w:t>picric acid itself when subjected to heat, friction, or impact.</w:t>
      </w:r>
    </w:p>
    <w:p w14:paraId="3E519538" w14:textId="77777777" w:rsidR="00C04CE7" w:rsidRDefault="00C04CE7" w:rsidP="00607E9C">
      <w:pPr>
        <w:tabs>
          <w:tab w:val="left" w:pos="900"/>
          <w:tab w:val="left" w:pos="1260"/>
        </w:tabs>
        <w:spacing w:after="0" w:line="240" w:lineRule="auto"/>
        <w:rPr>
          <w:rFonts w:eastAsia="Times New Roman" w:cstheme="minorHAnsi"/>
          <w:bCs/>
          <w:sz w:val="24"/>
          <w:szCs w:val="24"/>
        </w:rPr>
      </w:pPr>
    </w:p>
    <w:p w14:paraId="76BAE1D2" w14:textId="77777777" w:rsidR="00607E9C" w:rsidRPr="00607E9C" w:rsidRDefault="00607E9C" w:rsidP="00607E9C">
      <w:pPr>
        <w:tabs>
          <w:tab w:val="left" w:pos="900"/>
          <w:tab w:val="left" w:pos="1260"/>
        </w:tabs>
        <w:spacing w:after="0" w:line="240" w:lineRule="auto"/>
        <w:rPr>
          <w:rFonts w:eastAsia="Times New Roman" w:cstheme="minorHAnsi"/>
          <w:bCs/>
          <w:sz w:val="24"/>
          <w:szCs w:val="24"/>
          <w:u w:val="single"/>
        </w:rPr>
      </w:pPr>
      <w:r w:rsidRPr="00607E9C">
        <w:rPr>
          <w:rFonts w:eastAsia="Times New Roman" w:cstheme="minorHAnsi"/>
          <w:bCs/>
          <w:sz w:val="24"/>
          <w:szCs w:val="24"/>
          <w:u w:val="single"/>
        </w:rPr>
        <w:t>Potential Health Hazards</w:t>
      </w:r>
    </w:p>
    <w:p w14:paraId="3662C855" w14:textId="600BCE5C" w:rsidR="00607E9C" w:rsidRPr="00607E9C" w:rsidRDefault="00607E9C" w:rsidP="00607E9C">
      <w:pPr>
        <w:tabs>
          <w:tab w:val="left" w:pos="900"/>
          <w:tab w:val="left" w:pos="1260"/>
        </w:tabs>
        <w:spacing w:after="0" w:line="240" w:lineRule="auto"/>
        <w:rPr>
          <w:rFonts w:eastAsia="Times New Roman" w:cstheme="minorHAnsi"/>
          <w:bCs/>
          <w:sz w:val="24"/>
          <w:szCs w:val="24"/>
        </w:rPr>
      </w:pPr>
      <w:r w:rsidRPr="00607E9C">
        <w:rPr>
          <w:rFonts w:eastAsia="Times New Roman" w:cstheme="minorHAnsi"/>
          <w:bCs/>
          <w:sz w:val="24"/>
          <w:szCs w:val="24"/>
        </w:rPr>
        <w:t>Picric acid is toxic if swallowed, inhaled, or absorbed through the skin. Inhalation of dust may cause lung</w:t>
      </w:r>
      <w:r>
        <w:rPr>
          <w:rFonts w:eastAsia="Times New Roman" w:cstheme="minorHAnsi"/>
          <w:bCs/>
          <w:sz w:val="24"/>
          <w:szCs w:val="24"/>
        </w:rPr>
        <w:t xml:space="preserve"> </w:t>
      </w:r>
      <w:r w:rsidRPr="00607E9C">
        <w:rPr>
          <w:rFonts w:eastAsia="Times New Roman" w:cstheme="minorHAnsi"/>
          <w:bCs/>
          <w:sz w:val="24"/>
          <w:szCs w:val="24"/>
        </w:rPr>
        <w:t>damage. Chronic exposure may cause liver or kidney damage. It is irritating to the skin and eyes and</w:t>
      </w:r>
      <w:r>
        <w:rPr>
          <w:rFonts w:eastAsia="Times New Roman" w:cstheme="minorHAnsi"/>
          <w:bCs/>
          <w:sz w:val="24"/>
          <w:szCs w:val="24"/>
        </w:rPr>
        <w:t xml:space="preserve"> </w:t>
      </w:r>
      <w:r w:rsidRPr="00607E9C">
        <w:rPr>
          <w:rFonts w:eastAsia="Times New Roman" w:cstheme="minorHAnsi"/>
          <w:bCs/>
          <w:sz w:val="24"/>
          <w:szCs w:val="24"/>
        </w:rPr>
        <w:t>may cause an allergic skin reaction. See SDS for additional health effects and symptoms of exposure.</w:t>
      </w:r>
    </w:p>
    <w:p w14:paraId="6B71D51D" w14:textId="23B281F0" w:rsidR="005355FB" w:rsidRPr="005355FB" w:rsidRDefault="005355FB" w:rsidP="005355FB">
      <w:pPr>
        <w:shd w:val="clear" w:color="auto" w:fill="D9D9D9" w:themeFill="background1" w:themeFillShade="D9"/>
        <w:spacing w:before="80" w:after="80" w:line="240" w:lineRule="auto"/>
        <w:jc w:val="both"/>
        <w:rPr>
          <w:rFonts w:cstheme="minorHAnsi"/>
          <w:b/>
          <w:sz w:val="24"/>
          <w:szCs w:val="24"/>
        </w:rPr>
      </w:pPr>
      <w:r>
        <w:rPr>
          <w:rStyle w:val="Heading1Char"/>
          <w:rFonts w:asciiTheme="minorHAnsi" w:hAnsiTheme="minorHAnsi" w:cstheme="minorHAnsi"/>
          <w:color w:val="auto"/>
          <w:sz w:val="24"/>
          <w:szCs w:val="24"/>
        </w:rPr>
        <w:t>Best Practices</w:t>
      </w:r>
    </w:p>
    <w:p w14:paraId="5967EEA6" w14:textId="03926694" w:rsidR="00795EE1" w:rsidRPr="00795EE1" w:rsidRDefault="00795EE1" w:rsidP="00795EE1">
      <w:pPr>
        <w:pStyle w:val="ListParagraph"/>
        <w:numPr>
          <w:ilvl w:val="0"/>
          <w:numId w:val="2"/>
        </w:numPr>
        <w:spacing w:after="0" w:line="240" w:lineRule="auto"/>
        <w:rPr>
          <w:rFonts w:eastAsia="Times New Roman" w:cstheme="minorHAnsi"/>
          <w:bCs/>
          <w:sz w:val="24"/>
          <w:szCs w:val="24"/>
        </w:rPr>
      </w:pPr>
      <w:r w:rsidRPr="00795EE1">
        <w:rPr>
          <w:rFonts w:eastAsia="Times New Roman" w:cstheme="minorHAnsi"/>
          <w:bCs/>
          <w:sz w:val="24"/>
          <w:szCs w:val="24"/>
        </w:rPr>
        <w:t xml:space="preserve">Before </w:t>
      </w:r>
      <w:r w:rsidR="0018554D">
        <w:rPr>
          <w:rFonts w:eastAsia="Times New Roman" w:cstheme="minorHAnsi"/>
          <w:bCs/>
          <w:sz w:val="24"/>
          <w:szCs w:val="24"/>
        </w:rPr>
        <w:t>using</w:t>
      </w:r>
      <w:r>
        <w:rPr>
          <w:rFonts w:eastAsia="Times New Roman" w:cstheme="minorHAnsi"/>
          <w:bCs/>
          <w:sz w:val="24"/>
          <w:szCs w:val="24"/>
        </w:rPr>
        <w:t xml:space="preserve"> Picric Acid</w:t>
      </w:r>
      <w:r w:rsidRPr="00795EE1">
        <w:rPr>
          <w:rFonts w:eastAsia="Times New Roman" w:cstheme="minorHAnsi"/>
          <w:bCs/>
          <w:sz w:val="24"/>
          <w:szCs w:val="24"/>
        </w:rPr>
        <w:t>:</w:t>
      </w:r>
    </w:p>
    <w:p w14:paraId="033B3432" w14:textId="6CE2AF78" w:rsidR="00795EE1" w:rsidRPr="00C04CE7" w:rsidRDefault="00795EE1" w:rsidP="0018554D">
      <w:pPr>
        <w:pStyle w:val="ListParagraph"/>
        <w:numPr>
          <w:ilvl w:val="1"/>
          <w:numId w:val="2"/>
        </w:numPr>
        <w:spacing w:after="0" w:line="240" w:lineRule="auto"/>
        <w:ind w:left="720"/>
        <w:rPr>
          <w:rFonts w:eastAsia="Times New Roman" w:cstheme="minorHAnsi"/>
          <w:bCs/>
          <w:sz w:val="24"/>
          <w:szCs w:val="24"/>
        </w:rPr>
      </w:pPr>
      <w:r w:rsidRPr="00C04CE7">
        <w:rPr>
          <w:rFonts w:eastAsia="Times New Roman" w:cstheme="minorHAnsi"/>
          <w:bCs/>
          <w:sz w:val="24"/>
          <w:szCs w:val="24"/>
        </w:rPr>
        <w:t>Review the product specific Safety Date Sheet (SDS)</w:t>
      </w:r>
      <w:r w:rsidR="0018554D">
        <w:rPr>
          <w:rFonts w:eastAsia="Times New Roman" w:cstheme="minorHAnsi"/>
          <w:bCs/>
          <w:sz w:val="24"/>
          <w:szCs w:val="24"/>
        </w:rPr>
        <w:t>.</w:t>
      </w:r>
    </w:p>
    <w:p w14:paraId="114E0622" w14:textId="79832B33" w:rsidR="00795EE1" w:rsidRPr="00C04CE7" w:rsidRDefault="00795EE1" w:rsidP="0018554D">
      <w:pPr>
        <w:pStyle w:val="ListParagraph"/>
        <w:numPr>
          <w:ilvl w:val="1"/>
          <w:numId w:val="2"/>
        </w:numPr>
        <w:spacing w:after="0" w:line="240" w:lineRule="auto"/>
        <w:ind w:left="720"/>
        <w:rPr>
          <w:rFonts w:eastAsia="Times New Roman" w:cstheme="minorHAnsi"/>
          <w:bCs/>
          <w:sz w:val="24"/>
          <w:szCs w:val="24"/>
        </w:rPr>
      </w:pPr>
      <w:r w:rsidRPr="00C04CE7">
        <w:rPr>
          <w:rFonts w:eastAsia="Times New Roman" w:cstheme="minorHAnsi"/>
          <w:bCs/>
          <w:sz w:val="24"/>
          <w:szCs w:val="24"/>
        </w:rPr>
        <w:t>Review this fact sheet.</w:t>
      </w:r>
    </w:p>
    <w:p w14:paraId="3479A329" w14:textId="58E38A0C" w:rsidR="000C3C01" w:rsidRPr="00C04CE7" w:rsidRDefault="00795EE1" w:rsidP="0018554D">
      <w:pPr>
        <w:pStyle w:val="ListParagraph"/>
        <w:numPr>
          <w:ilvl w:val="1"/>
          <w:numId w:val="2"/>
        </w:numPr>
        <w:spacing w:after="0" w:line="240" w:lineRule="auto"/>
        <w:ind w:left="720"/>
        <w:rPr>
          <w:rFonts w:eastAsia="Times New Roman" w:cstheme="minorHAnsi"/>
          <w:bCs/>
          <w:sz w:val="24"/>
          <w:szCs w:val="24"/>
        </w:rPr>
      </w:pPr>
      <w:r w:rsidRPr="00C04CE7">
        <w:rPr>
          <w:rFonts w:eastAsia="Times New Roman" w:cstheme="minorHAnsi"/>
          <w:bCs/>
          <w:sz w:val="24"/>
          <w:szCs w:val="24"/>
        </w:rPr>
        <w:t xml:space="preserve">Review or create a </w:t>
      </w:r>
      <w:hyperlink r:id="rId11" w:history="1">
        <w:r w:rsidRPr="00C04CE7">
          <w:rPr>
            <w:rStyle w:val="Hyperlink"/>
            <w:rFonts w:eastAsia="Times New Roman" w:cstheme="minorHAnsi"/>
            <w:bCs/>
            <w:sz w:val="24"/>
            <w:szCs w:val="24"/>
          </w:rPr>
          <w:t>Standard Operating Procedure (SOP)</w:t>
        </w:r>
      </w:hyperlink>
      <w:r w:rsidRPr="00C04CE7">
        <w:rPr>
          <w:rFonts w:eastAsia="Times New Roman" w:cstheme="minorHAnsi"/>
          <w:bCs/>
          <w:sz w:val="24"/>
          <w:szCs w:val="24"/>
        </w:rPr>
        <w:t xml:space="preserve"> for the specific process in which picric acid is</w:t>
      </w:r>
      <w:r w:rsidR="00C04CE7" w:rsidRPr="00C04CE7">
        <w:rPr>
          <w:rFonts w:eastAsia="Times New Roman" w:cstheme="minorHAnsi"/>
          <w:bCs/>
          <w:sz w:val="24"/>
          <w:szCs w:val="24"/>
        </w:rPr>
        <w:t xml:space="preserve"> </w:t>
      </w:r>
      <w:r w:rsidRPr="00C04CE7">
        <w:rPr>
          <w:rFonts w:eastAsia="Times New Roman" w:cstheme="minorHAnsi"/>
          <w:bCs/>
          <w:sz w:val="24"/>
          <w:szCs w:val="24"/>
        </w:rPr>
        <w:t>used</w:t>
      </w:r>
      <w:r w:rsidR="00C04CE7" w:rsidRPr="00C04CE7">
        <w:rPr>
          <w:rFonts w:eastAsia="Times New Roman" w:cstheme="minorHAnsi"/>
          <w:bCs/>
          <w:sz w:val="24"/>
          <w:szCs w:val="24"/>
        </w:rPr>
        <w:t>.</w:t>
      </w:r>
    </w:p>
    <w:p w14:paraId="58D578DA" w14:textId="42A954E3" w:rsidR="00795EE1" w:rsidRDefault="00795EE1" w:rsidP="00795EE1">
      <w:pPr>
        <w:pStyle w:val="ListParagraph"/>
        <w:numPr>
          <w:ilvl w:val="0"/>
          <w:numId w:val="2"/>
        </w:numPr>
        <w:spacing w:after="0" w:line="240" w:lineRule="auto"/>
        <w:rPr>
          <w:rFonts w:eastAsia="Times New Roman" w:cstheme="minorHAnsi"/>
          <w:bCs/>
          <w:sz w:val="24"/>
          <w:szCs w:val="24"/>
        </w:rPr>
      </w:pPr>
      <w:r w:rsidRPr="00795EE1">
        <w:rPr>
          <w:rFonts w:eastAsia="Times New Roman" w:cstheme="minorHAnsi"/>
          <w:bCs/>
          <w:sz w:val="24"/>
          <w:szCs w:val="24"/>
        </w:rPr>
        <w:t>Never work alone while using picric acid.</w:t>
      </w:r>
    </w:p>
    <w:p w14:paraId="29E993AF" w14:textId="0694FCC6" w:rsidR="002859A7" w:rsidRPr="008F058A" w:rsidRDefault="00631BC1" w:rsidP="00F62DEB">
      <w:pPr>
        <w:pStyle w:val="ListParagraph"/>
        <w:numPr>
          <w:ilvl w:val="0"/>
          <w:numId w:val="2"/>
        </w:numPr>
        <w:spacing w:after="0" w:line="240" w:lineRule="auto"/>
        <w:rPr>
          <w:rFonts w:eastAsia="Times New Roman" w:cstheme="minorHAnsi"/>
          <w:bCs/>
          <w:sz w:val="24"/>
          <w:szCs w:val="24"/>
        </w:rPr>
      </w:pPr>
      <w:r w:rsidRPr="008F058A">
        <w:rPr>
          <w:rFonts w:eastAsia="Times New Roman" w:cstheme="minorHAnsi"/>
          <w:bCs/>
          <w:sz w:val="24"/>
          <w:szCs w:val="24"/>
        </w:rPr>
        <w:t xml:space="preserve">Purchase only what is immediately needed in the smallest practical quantity. </w:t>
      </w:r>
      <w:r w:rsidR="008F058A" w:rsidRPr="008F058A">
        <w:rPr>
          <w:rFonts w:eastAsia="Times New Roman" w:cstheme="minorHAnsi"/>
          <w:bCs/>
          <w:sz w:val="24"/>
          <w:szCs w:val="24"/>
        </w:rPr>
        <w:t>Do not open a new bottle until needed</w:t>
      </w:r>
      <w:r w:rsidR="008F058A">
        <w:rPr>
          <w:rFonts w:eastAsia="Times New Roman" w:cstheme="minorHAnsi"/>
          <w:bCs/>
          <w:sz w:val="24"/>
          <w:szCs w:val="24"/>
        </w:rPr>
        <w:t>.</w:t>
      </w:r>
      <w:r w:rsidR="008F058A" w:rsidRPr="008F058A">
        <w:rPr>
          <w:rFonts w:eastAsia="Times New Roman" w:cstheme="minorHAnsi"/>
          <w:bCs/>
          <w:sz w:val="24"/>
          <w:szCs w:val="24"/>
        </w:rPr>
        <w:t xml:space="preserve"> </w:t>
      </w:r>
      <w:r w:rsidRPr="008F058A">
        <w:rPr>
          <w:rFonts w:eastAsia="Times New Roman" w:cstheme="minorHAnsi"/>
          <w:bCs/>
          <w:sz w:val="24"/>
          <w:szCs w:val="24"/>
        </w:rPr>
        <w:t>Properly dispose of any excess picric acid</w:t>
      </w:r>
      <w:r w:rsidR="003857DA" w:rsidRPr="008F058A">
        <w:rPr>
          <w:rFonts w:eastAsia="Times New Roman" w:cstheme="minorHAnsi"/>
          <w:bCs/>
          <w:sz w:val="24"/>
          <w:szCs w:val="24"/>
        </w:rPr>
        <w:t xml:space="preserve"> via OEHS waste management group</w:t>
      </w:r>
      <w:r w:rsidRPr="008F058A">
        <w:rPr>
          <w:rFonts w:eastAsia="Times New Roman" w:cstheme="minorHAnsi"/>
          <w:bCs/>
          <w:sz w:val="24"/>
          <w:szCs w:val="24"/>
        </w:rPr>
        <w:t xml:space="preserve"> immediately after intended use.</w:t>
      </w:r>
    </w:p>
    <w:p w14:paraId="01615C50" w14:textId="5D3A61F9" w:rsidR="00DE5A90" w:rsidRDefault="00DE5A90" w:rsidP="00090CB1">
      <w:pPr>
        <w:pStyle w:val="ListParagraph"/>
        <w:numPr>
          <w:ilvl w:val="0"/>
          <w:numId w:val="2"/>
        </w:numPr>
        <w:spacing w:after="0" w:line="240" w:lineRule="auto"/>
        <w:rPr>
          <w:rFonts w:eastAsia="Times New Roman" w:cstheme="minorHAnsi"/>
          <w:bCs/>
          <w:sz w:val="24"/>
          <w:szCs w:val="24"/>
        </w:rPr>
      </w:pPr>
      <w:r w:rsidRPr="00DE5A90">
        <w:rPr>
          <w:rFonts w:eastAsia="Times New Roman" w:cstheme="minorHAnsi"/>
          <w:bCs/>
          <w:sz w:val="24"/>
          <w:szCs w:val="24"/>
        </w:rPr>
        <w:t>If possible, eliminate solid picric acid from your inventory by purchasing premixed stains or a 1% solution for use in stain preparation.</w:t>
      </w:r>
    </w:p>
    <w:p w14:paraId="0D56CFA7" w14:textId="6E506E2D" w:rsidR="00AE60B2" w:rsidRDefault="00AE60B2" w:rsidP="00FF1E8C">
      <w:pPr>
        <w:pStyle w:val="ListParagraph"/>
        <w:numPr>
          <w:ilvl w:val="0"/>
          <w:numId w:val="2"/>
        </w:numPr>
        <w:spacing w:after="0" w:line="240" w:lineRule="auto"/>
        <w:rPr>
          <w:rFonts w:eastAsia="Times New Roman" w:cstheme="minorHAnsi"/>
          <w:bCs/>
          <w:sz w:val="24"/>
          <w:szCs w:val="24"/>
        </w:rPr>
      </w:pPr>
      <w:r w:rsidRPr="007D4A05">
        <w:t xml:space="preserve">Due to </w:t>
      </w:r>
      <w:r w:rsidR="00CE727E">
        <w:t xml:space="preserve">inhalation </w:t>
      </w:r>
      <w:r w:rsidRPr="007D4A05">
        <w:t xml:space="preserve">toxicity of picric acid, it needs to be handled in a chemical fume hood. Benchtop work with </w:t>
      </w:r>
      <w:r>
        <w:t>picric acid</w:t>
      </w:r>
      <w:r w:rsidRPr="007D4A05">
        <w:t xml:space="preserve"> should be avoided.</w:t>
      </w:r>
    </w:p>
    <w:p w14:paraId="0001A4F4" w14:textId="1F09C605" w:rsidR="00C4530B" w:rsidRDefault="00C4530B" w:rsidP="00C4530B">
      <w:pPr>
        <w:pStyle w:val="ListParagraph"/>
        <w:numPr>
          <w:ilvl w:val="0"/>
          <w:numId w:val="2"/>
        </w:numPr>
        <w:spacing w:after="0" w:line="240" w:lineRule="auto"/>
        <w:rPr>
          <w:rFonts w:eastAsia="Times New Roman" w:cstheme="minorHAnsi"/>
          <w:bCs/>
          <w:sz w:val="24"/>
          <w:szCs w:val="24"/>
        </w:rPr>
      </w:pPr>
      <w:r w:rsidRPr="00DE5A90">
        <w:rPr>
          <w:rFonts w:eastAsia="Times New Roman" w:cstheme="minorHAnsi"/>
          <w:bCs/>
          <w:sz w:val="24"/>
          <w:szCs w:val="24"/>
        </w:rPr>
        <w:t xml:space="preserve">Do not use metal </w:t>
      </w:r>
      <w:r w:rsidR="00B3454B">
        <w:rPr>
          <w:rFonts w:eastAsia="Times New Roman" w:cstheme="minorHAnsi"/>
          <w:bCs/>
          <w:sz w:val="24"/>
          <w:szCs w:val="24"/>
        </w:rPr>
        <w:t xml:space="preserve">containers, </w:t>
      </w:r>
      <w:r w:rsidRPr="00DE5A90">
        <w:rPr>
          <w:rFonts w:eastAsia="Times New Roman" w:cstheme="minorHAnsi"/>
          <w:bCs/>
          <w:sz w:val="24"/>
          <w:szCs w:val="24"/>
        </w:rPr>
        <w:t>spatulas</w:t>
      </w:r>
      <w:r w:rsidR="00B3454B">
        <w:rPr>
          <w:rFonts w:eastAsia="Times New Roman" w:cstheme="minorHAnsi"/>
          <w:bCs/>
          <w:sz w:val="24"/>
          <w:szCs w:val="24"/>
        </w:rPr>
        <w:t>,</w:t>
      </w:r>
      <w:r w:rsidRPr="00DE5A90">
        <w:rPr>
          <w:rFonts w:eastAsia="Times New Roman" w:cstheme="minorHAnsi"/>
          <w:bCs/>
          <w:sz w:val="24"/>
          <w:szCs w:val="24"/>
        </w:rPr>
        <w:t xml:space="preserve"> </w:t>
      </w:r>
      <w:r>
        <w:rPr>
          <w:rFonts w:eastAsia="Times New Roman" w:cstheme="minorHAnsi"/>
          <w:bCs/>
          <w:sz w:val="24"/>
          <w:szCs w:val="24"/>
        </w:rPr>
        <w:t xml:space="preserve">or </w:t>
      </w:r>
      <w:r w:rsidR="00B3454B">
        <w:rPr>
          <w:rFonts w:eastAsia="Times New Roman" w:cstheme="minorHAnsi"/>
          <w:bCs/>
          <w:sz w:val="24"/>
          <w:szCs w:val="24"/>
        </w:rPr>
        <w:t xml:space="preserve">other </w:t>
      </w:r>
      <w:r>
        <w:rPr>
          <w:rFonts w:eastAsia="Times New Roman" w:cstheme="minorHAnsi"/>
          <w:bCs/>
          <w:sz w:val="24"/>
          <w:szCs w:val="24"/>
        </w:rPr>
        <w:t>tools</w:t>
      </w:r>
      <w:r w:rsidRPr="00DE5A90">
        <w:rPr>
          <w:rFonts w:eastAsia="Times New Roman" w:cstheme="minorHAnsi"/>
          <w:bCs/>
          <w:sz w:val="24"/>
          <w:szCs w:val="24"/>
        </w:rPr>
        <w:t xml:space="preserve">. </w:t>
      </w:r>
      <w:r w:rsidR="00B3454B" w:rsidRPr="00B3454B">
        <w:rPr>
          <w:rFonts w:eastAsia="Times New Roman" w:cstheme="minorHAnsi"/>
          <w:bCs/>
          <w:sz w:val="24"/>
          <w:szCs w:val="24"/>
        </w:rPr>
        <w:t>Do not use bottles with ground glass stoppers.</w:t>
      </w:r>
      <w:r w:rsidR="00B3454B">
        <w:rPr>
          <w:rFonts w:eastAsia="Times New Roman" w:cstheme="minorHAnsi"/>
          <w:bCs/>
          <w:sz w:val="24"/>
          <w:szCs w:val="24"/>
        </w:rPr>
        <w:t xml:space="preserve"> </w:t>
      </w:r>
      <w:r>
        <w:rPr>
          <w:rFonts w:eastAsia="Times New Roman" w:cstheme="minorHAnsi"/>
          <w:bCs/>
          <w:sz w:val="24"/>
          <w:szCs w:val="24"/>
        </w:rPr>
        <w:t>Use non-sparking tools</w:t>
      </w:r>
      <w:r w:rsidRPr="00DE5A90">
        <w:rPr>
          <w:rFonts w:eastAsia="Times New Roman" w:cstheme="minorHAnsi"/>
          <w:bCs/>
          <w:sz w:val="24"/>
          <w:szCs w:val="24"/>
        </w:rPr>
        <w:t>.</w:t>
      </w:r>
    </w:p>
    <w:p w14:paraId="54FE60EB" w14:textId="4F0CA97F" w:rsidR="007D1C87" w:rsidRPr="007D1C87" w:rsidRDefault="007D1C87" w:rsidP="00BA7BCC">
      <w:pPr>
        <w:pStyle w:val="ListParagraph"/>
        <w:numPr>
          <w:ilvl w:val="0"/>
          <w:numId w:val="2"/>
        </w:numPr>
        <w:spacing w:after="0" w:line="240" w:lineRule="auto"/>
        <w:rPr>
          <w:rFonts w:eastAsia="Times New Roman" w:cstheme="minorHAnsi"/>
          <w:bCs/>
          <w:sz w:val="24"/>
          <w:szCs w:val="24"/>
        </w:rPr>
      </w:pPr>
      <w:r>
        <w:rPr>
          <w:rFonts w:eastAsia="Times New Roman" w:cstheme="minorHAnsi"/>
          <w:bCs/>
          <w:sz w:val="24"/>
          <w:szCs w:val="24"/>
        </w:rPr>
        <w:t>L</w:t>
      </w:r>
      <w:r w:rsidRPr="007D1C87">
        <w:rPr>
          <w:rFonts w:eastAsia="Times New Roman" w:cstheme="minorHAnsi"/>
          <w:bCs/>
          <w:sz w:val="24"/>
          <w:szCs w:val="24"/>
        </w:rPr>
        <w:t>abel all containers that contain picric acid (including date received).</w:t>
      </w:r>
    </w:p>
    <w:p w14:paraId="49C2BDEF" w14:textId="0FDFA1D5" w:rsidR="00DE5A90" w:rsidRDefault="009E2F20" w:rsidP="009E76B4">
      <w:pPr>
        <w:pStyle w:val="ListParagraph"/>
        <w:numPr>
          <w:ilvl w:val="0"/>
          <w:numId w:val="2"/>
        </w:numPr>
        <w:spacing w:after="0" w:line="240" w:lineRule="auto"/>
        <w:rPr>
          <w:rFonts w:eastAsia="Times New Roman" w:cstheme="minorHAnsi"/>
          <w:bCs/>
          <w:sz w:val="24"/>
          <w:szCs w:val="24"/>
        </w:rPr>
      </w:pPr>
      <w:r>
        <w:rPr>
          <w:rFonts w:eastAsia="Times New Roman" w:cstheme="minorHAnsi"/>
          <w:bCs/>
          <w:sz w:val="24"/>
          <w:szCs w:val="24"/>
        </w:rPr>
        <w:lastRenderedPageBreak/>
        <w:t>C</w:t>
      </w:r>
      <w:r w:rsidRPr="009E2F20">
        <w:rPr>
          <w:rFonts w:eastAsia="Times New Roman" w:cstheme="minorHAnsi"/>
          <w:bCs/>
          <w:sz w:val="24"/>
          <w:szCs w:val="24"/>
        </w:rPr>
        <w:t xml:space="preserve">ontainers should always be examined after </w:t>
      </w:r>
      <w:r w:rsidR="00823C1A">
        <w:rPr>
          <w:rFonts w:eastAsia="Times New Roman" w:cstheme="minorHAnsi"/>
          <w:bCs/>
          <w:sz w:val="24"/>
          <w:szCs w:val="24"/>
        </w:rPr>
        <w:t xml:space="preserve">each </w:t>
      </w:r>
      <w:r w:rsidRPr="009E2F20">
        <w:rPr>
          <w:rFonts w:eastAsia="Times New Roman" w:cstheme="minorHAnsi"/>
          <w:bCs/>
          <w:sz w:val="24"/>
          <w:szCs w:val="24"/>
        </w:rPr>
        <w:t>use and any residue on the bottle</w:t>
      </w:r>
      <w:r w:rsidR="0027433F" w:rsidRPr="00DE5A90">
        <w:rPr>
          <w:rFonts w:eastAsia="Times New Roman" w:cstheme="minorHAnsi"/>
          <w:bCs/>
          <w:sz w:val="24"/>
          <w:szCs w:val="24"/>
        </w:rPr>
        <w:t xml:space="preserve">, cap, </w:t>
      </w:r>
      <w:r w:rsidR="00C96C30">
        <w:rPr>
          <w:rFonts w:eastAsia="Times New Roman" w:cstheme="minorHAnsi"/>
          <w:bCs/>
          <w:sz w:val="24"/>
          <w:szCs w:val="24"/>
        </w:rPr>
        <w:t>or</w:t>
      </w:r>
      <w:r w:rsidR="0027433F" w:rsidRPr="00DE5A90">
        <w:rPr>
          <w:rFonts w:eastAsia="Times New Roman" w:cstheme="minorHAnsi"/>
          <w:bCs/>
          <w:sz w:val="24"/>
          <w:szCs w:val="24"/>
        </w:rPr>
        <w:t xml:space="preserve"> threads </w:t>
      </w:r>
      <w:r w:rsidR="0027433F">
        <w:rPr>
          <w:rFonts w:eastAsia="Times New Roman" w:cstheme="minorHAnsi"/>
          <w:bCs/>
          <w:sz w:val="24"/>
          <w:szCs w:val="24"/>
        </w:rPr>
        <w:t xml:space="preserve">should be </w:t>
      </w:r>
      <w:r w:rsidRPr="009E2F20">
        <w:rPr>
          <w:rFonts w:eastAsia="Times New Roman" w:cstheme="minorHAnsi"/>
          <w:bCs/>
          <w:sz w:val="24"/>
          <w:szCs w:val="24"/>
        </w:rPr>
        <w:t>cleaned with a damp cloth</w:t>
      </w:r>
      <w:r w:rsidR="00795EE1">
        <w:rPr>
          <w:rFonts w:eastAsia="Times New Roman" w:cstheme="minorHAnsi"/>
          <w:bCs/>
          <w:sz w:val="24"/>
          <w:szCs w:val="24"/>
        </w:rPr>
        <w:t xml:space="preserve"> (wetted with DI water)</w:t>
      </w:r>
      <w:r w:rsidRPr="009E2F20">
        <w:rPr>
          <w:rFonts w:eastAsia="Times New Roman" w:cstheme="minorHAnsi"/>
          <w:bCs/>
          <w:sz w:val="24"/>
          <w:szCs w:val="24"/>
        </w:rPr>
        <w:t xml:space="preserve"> to remove any residue.</w:t>
      </w:r>
      <w:r w:rsidR="00DE5A90" w:rsidRPr="00DE5A90">
        <w:rPr>
          <w:rFonts w:eastAsia="Times New Roman" w:cstheme="minorHAnsi"/>
          <w:bCs/>
          <w:sz w:val="24"/>
          <w:szCs w:val="24"/>
        </w:rPr>
        <w:t xml:space="preserve"> Collect used cloth</w:t>
      </w:r>
      <w:r w:rsidR="0027433F">
        <w:rPr>
          <w:rFonts w:eastAsia="Times New Roman" w:cstheme="minorHAnsi"/>
          <w:bCs/>
          <w:sz w:val="24"/>
          <w:szCs w:val="24"/>
        </w:rPr>
        <w:t>es/paper towels</w:t>
      </w:r>
      <w:r w:rsidR="00DE5A90">
        <w:rPr>
          <w:rFonts w:eastAsia="Times New Roman" w:cstheme="minorHAnsi"/>
          <w:bCs/>
          <w:sz w:val="24"/>
          <w:szCs w:val="24"/>
        </w:rPr>
        <w:t xml:space="preserve"> as </w:t>
      </w:r>
      <w:r w:rsidR="00C96C30">
        <w:rPr>
          <w:rFonts w:eastAsia="Times New Roman" w:cstheme="minorHAnsi"/>
          <w:bCs/>
          <w:sz w:val="24"/>
          <w:szCs w:val="24"/>
        </w:rPr>
        <w:t xml:space="preserve">hazardous chemical </w:t>
      </w:r>
      <w:r w:rsidR="00DE5A90">
        <w:rPr>
          <w:rFonts w:eastAsia="Times New Roman" w:cstheme="minorHAnsi"/>
          <w:bCs/>
          <w:sz w:val="24"/>
          <w:szCs w:val="24"/>
        </w:rPr>
        <w:t>waste.</w:t>
      </w:r>
      <w:r w:rsidR="00795EE1">
        <w:rPr>
          <w:rFonts w:eastAsia="Times New Roman" w:cstheme="minorHAnsi"/>
          <w:bCs/>
          <w:sz w:val="24"/>
          <w:szCs w:val="24"/>
        </w:rPr>
        <w:t xml:space="preserve"> Note: Picric acid contaminated absorbent materials must be placed in a plastic bag, </w:t>
      </w:r>
      <w:r w:rsidR="000603F8">
        <w:rPr>
          <w:rFonts w:eastAsia="Times New Roman" w:cstheme="minorHAnsi"/>
          <w:bCs/>
          <w:sz w:val="24"/>
          <w:szCs w:val="24"/>
        </w:rPr>
        <w:t>moistened</w:t>
      </w:r>
      <w:r w:rsidR="00795EE1">
        <w:rPr>
          <w:rFonts w:eastAsia="Times New Roman" w:cstheme="minorHAnsi"/>
          <w:bCs/>
          <w:sz w:val="24"/>
          <w:szCs w:val="24"/>
        </w:rPr>
        <w:t xml:space="preserve"> with excess DI </w:t>
      </w:r>
      <w:r w:rsidR="00C96C30">
        <w:rPr>
          <w:rFonts w:eastAsia="Times New Roman" w:cstheme="minorHAnsi"/>
          <w:bCs/>
          <w:sz w:val="24"/>
          <w:szCs w:val="24"/>
        </w:rPr>
        <w:t>water,</w:t>
      </w:r>
      <w:r w:rsidR="00795EE1">
        <w:rPr>
          <w:rFonts w:eastAsia="Times New Roman" w:cstheme="minorHAnsi"/>
          <w:bCs/>
          <w:sz w:val="24"/>
          <w:szCs w:val="24"/>
        </w:rPr>
        <w:t xml:space="preserve"> and sealed prior to disposing </w:t>
      </w:r>
      <w:r w:rsidR="0018554D">
        <w:rPr>
          <w:rFonts w:eastAsia="Times New Roman" w:cstheme="minorHAnsi"/>
          <w:bCs/>
          <w:sz w:val="24"/>
          <w:szCs w:val="24"/>
        </w:rPr>
        <w:t>into</w:t>
      </w:r>
      <w:r w:rsidR="00795EE1">
        <w:rPr>
          <w:rFonts w:eastAsia="Times New Roman" w:cstheme="minorHAnsi"/>
          <w:bCs/>
          <w:sz w:val="24"/>
          <w:szCs w:val="24"/>
        </w:rPr>
        <w:t xml:space="preserve"> the solid </w:t>
      </w:r>
      <w:r w:rsidR="00C04CE7">
        <w:rPr>
          <w:rFonts w:eastAsia="Times New Roman" w:cstheme="minorHAnsi"/>
          <w:bCs/>
          <w:sz w:val="24"/>
          <w:szCs w:val="24"/>
        </w:rPr>
        <w:t xml:space="preserve">hazardous chemical </w:t>
      </w:r>
      <w:r w:rsidR="00795EE1">
        <w:rPr>
          <w:rFonts w:eastAsia="Times New Roman" w:cstheme="minorHAnsi"/>
          <w:bCs/>
          <w:sz w:val="24"/>
          <w:szCs w:val="24"/>
        </w:rPr>
        <w:t>waste bin.</w:t>
      </w:r>
    </w:p>
    <w:p w14:paraId="003508EF" w14:textId="6427259E" w:rsidR="0078573E" w:rsidRDefault="0078573E" w:rsidP="00B724C1">
      <w:pPr>
        <w:pStyle w:val="ListParagraph"/>
        <w:numPr>
          <w:ilvl w:val="0"/>
          <w:numId w:val="2"/>
        </w:numPr>
        <w:spacing w:after="0" w:line="240" w:lineRule="auto"/>
        <w:rPr>
          <w:rFonts w:eastAsia="Times New Roman" w:cstheme="minorHAnsi"/>
          <w:bCs/>
          <w:sz w:val="24"/>
          <w:szCs w:val="24"/>
        </w:rPr>
      </w:pPr>
      <w:r>
        <w:rPr>
          <w:rFonts w:eastAsia="Times New Roman" w:cstheme="minorHAnsi"/>
          <w:bCs/>
          <w:sz w:val="24"/>
          <w:szCs w:val="24"/>
        </w:rPr>
        <w:t>Dispose of picric acid that is more than 2 years old</w:t>
      </w:r>
      <w:r w:rsidR="003E6B57">
        <w:rPr>
          <w:rFonts w:eastAsia="Times New Roman" w:cstheme="minorHAnsi"/>
          <w:bCs/>
          <w:sz w:val="24"/>
          <w:szCs w:val="24"/>
        </w:rPr>
        <w:t xml:space="preserve"> through OEHS</w:t>
      </w:r>
      <w:r>
        <w:rPr>
          <w:rFonts w:eastAsia="Times New Roman" w:cstheme="minorHAnsi"/>
          <w:bCs/>
          <w:sz w:val="24"/>
          <w:szCs w:val="24"/>
        </w:rPr>
        <w:t>.</w:t>
      </w:r>
    </w:p>
    <w:p w14:paraId="6B38D244" w14:textId="424AD0F8" w:rsidR="00C04CE7" w:rsidRDefault="00C96C30" w:rsidP="00E84631">
      <w:pPr>
        <w:pStyle w:val="ListParagraph"/>
        <w:numPr>
          <w:ilvl w:val="0"/>
          <w:numId w:val="2"/>
        </w:numPr>
        <w:spacing w:after="0" w:line="240" w:lineRule="auto"/>
        <w:rPr>
          <w:rFonts w:eastAsia="Times New Roman" w:cstheme="minorHAnsi"/>
          <w:bCs/>
          <w:sz w:val="24"/>
          <w:szCs w:val="24"/>
        </w:rPr>
      </w:pPr>
      <w:r>
        <w:rPr>
          <w:rFonts w:eastAsia="Times New Roman" w:cstheme="minorHAnsi"/>
          <w:bCs/>
          <w:sz w:val="24"/>
          <w:szCs w:val="24"/>
        </w:rPr>
        <w:t>A bottle of p</w:t>
      </w:r>
      <w:r w:rsidR="007D1C87" w:rsidRPr="00C04CE7">
        <w:rPr>
          <w:rFonts w:eastAsia="Times New Roman" w:cstheme="minorHAnsi"/>
          <w:bCs/>
          <w:sz w:val="24"/>
          <w:szCs w:val="24"/>
        </w:rPr>
        <w:t>otentially old picric acid</w:t>
      </w:r>
      <w:r w:rsidR="00823C1A" w:rsidRPr="00C04CE7">
        <w:rPr>
          <w:rFonts w:eastAsia="Times New Roman" w:cstheme="minorHAnsi"/>
          <w:bCs/>
          <w:sz w:val="24"/>
          <w:szCs w:val="24"/>
        </w:rPr>
        <w:t xml:space="preserve"> </w:t>
      </w:r>
      <w:r w:rsidR="007D1C87" w:rsidRPr="00C04CE7">
        <w:rPr>
          <w:rFonts w:eastAsia="Times New Roman" w:cstheme="minorHAnsi"/>
          <w:bCs/>
          <w:sz w:val="24"/>
          <w:szCs w:val="24"/>
        </w:rPr>
        <w:t xml:space="preserve">is an item of </w:t>
      </w:r>
      <w:r>
        <w:rPr>
          <w:rFonts w:eastAsia="Times New Roman" w:cstheme="minorHAnsi"/>
          <w:bCs/>
          <w:sz w:val="24"/>
          <w:szCs w:val="24"/>
        </w:rPr>
        <w:t>high</w:t>
      </w:r>
      <w:r w:rsidR="007D1C87" w:rsidRPr="00C04CE7">
        <w:rPr>
          <w:rFonts w:eastAsia="Times New Roman" w:cstheme="minorHAnsi"/>
          <w:bCs/>
          <w:sz w:val="24"/>
          <w:szCs w:val="24"/>
        </w:rPr>
        <w:t xml:space="preserve"> concern and </w:t>
      </w:r>
      <w:r>
        <w:rPr>
          <w:rFonts w:eastAsia="Times New Roman" w:cstheme="minorHAnsi"/>
          <w:bCs/>
          <w:sz w:val="24"/>
          <w:szCs w:val="24"/>
        </w:rPr>
        <w:t>requires special</w:t>
      </w:r>
      <w:r w:rsidR="007D1C87" w:rsidRPr="00C04CE7">
        <w:rPr>
          <w:rFonts w:eastAsia="Times New Roman" w:cstheme="minorHAnsi"/>
          <w:bCs/>
          <w:sz w:val="24"/>
          <w:szCs w:val="24"/>
        </w:rPr>
        <w:t xml:space="preserve"> attention.</w:t>
      </w:r>
      <w:r w:rsidR="00823C1A" w:rsidRPr="00C04CE7">
        <w:rPr>
          <w:rFonts w:eastAsia="Times New Roman" w:cstheme="minorHAnsi"/>
          <w:bCs/>
          <w:sz w:val="24"/>
          <w:szCs w:val="24"/>
        </w:rPr>
        <w:t xml:space="preserve"> These bottles </w:t>
      </w:r>
      <w:r>
        <w:rPr>
          <w:rFonts w:eastAsia="Times New Roman" w:cstheme="minorHAnsi"/>
          <w:bCs/>
          <w:sz w:val="24"/>
          <w:szCs w:val="24"/>
        </w:rPr>
        <w:t>may</w:t>
      </w:r>
      <w:r w:rsidR="00823C1A" w:rsidRPr="00C04CE7">
        <w:rPr>
          <w:rFonts w:eastAsia="Times New Roman" w:cstheme="minorHAnsi"/>
          <w:bCs/>
          <w:sz w:val="24"/>
          <w:szCs w:val="24"/>
        </w:rPr>
        <w:t xml:space="preserve"> either </w:t>
      </w:r>
      <w:r w:rsidR="007F074D" w:rsidRPr="00C04CE7">
        <w:rPr>
          <w:rFonts w:eastAsia="Times New Roman" w:cstheme="minorHAnsi"/>
          <w:bCs/>
          <w:sz w:val="24"/>
          <w:szCs w:val="24"/>
        </w:rPr>
        <w:t>containing</w:t>
      </w:r>
      <w:r w:rsidR="00823C1A" w:rsidRPr="00C04CE7">
        <w:rPr>
          <w:rFonts w:eastAsia="Times New Roman" w:cstheme="minorHAnsi"/>
          <w:bCs/>
          <w:sz w:val="24"/>
          <w:szCs w:val="24"/>
        </w:rPr>
        <w:t xml:space="preserve"> </w:t>
      </w:r>
      <w:r w:rsidR="007F074D" w:rsidRPr="00C04CE7">
        <w:rPr>
          <w:rFonts w:eastAsia="Times New Roman" w:cstheme="minorHAnsi"/>
          <w:bCs/>
          <w:sz w:val="24"/>
          <w:szCs w:val="24"/>
        </w:rPr>
        <w:t xml:space="preserve">shock sensitive </w:t>
      </w:r>
      <w:r w:rsidR="00823C1A" w:rsidRPr="00C04CE7">
        <w:rPr>
          <w:rFonts w:eastAsia="Times New Roman" w:cstheme="minorHAnsi"/>
          <w:bCs/>
          <w:sz w:val="24"/>
          <w:szCs w:val="24"/>
        </w:rPr>
        <w:t xml:space="preserve">dry picric acid crystals (due to </w:t>
      </w:r>
      <w:r w:rsidRPr="00C04CE7">
        <w:rPr>
          <w:rFonts w:eastAsia="Times New Roman" w:cstheme="minorHAnsi"/>
          <w:bCs/>
          <w:sz w:val="24"/>
          <w:szCs w:val="24"/>
        </w:rPr>
        <w:t xml:space="preserve">drying </w:t>
      </w:r>
      <w:r w:rsidR="00823C1A" w:rsidRPr="00C04CE7">
        <w:rPr>
          <w:rFonts w:eastAsia="Times New Roman" w:cstheme="minorHAnsi"/>
          <w:bCs/>
          <w:sz w:val="24"/>
          <w:szCs w:val="24"/>
        </w:rPr>
        <w:t>overt</w:t>
      </w:r>
      <w:r w:rsidR="007F074D" w:rsidRPr="00C04CE7">
        <w:rPr>
          <w:rFonts w:eastAsia="Times New Roman" w:cstheme="minorHAnsi"/>
          <w:bCs/>
          <w:sz w:val="24"/>
          <w:szCs w:val="24"/>
        </w:rPr>
        <w:t>ime of the wetted paste) and/or contain highly shock sensitive picrates (inside the bottle or within the threads of the bottle lid), formed by the introduction of impurities during use.</w:t>
      </w:r>
    </w:p>
    <w:p w14:paraId="3F9698C5" w14:textId="36BF7D5B" w:rsidR="007D1C87" w:rsidRPr="00C04CE7" w:rsidRDefault="007D1C87" w:rsidP="00E84631">
      <w:pPr>
        <w:pStyle w:val="ListParagraph"/>
        <w:numPr>
          <w:ilvl w:val="0"/>
          <w:numId w:val="2"/>
        </w:numPr>
        <w:spacing w:after="0" w:line="240" w:lineRule="auto"/>
        <w:rPr>
          <w:rFonts w:eastAsia="Times New Roman" w:cstheme="minorHAnsi"/>
          <w:bCs/>
          <w:sz w:val="24"/>
          <w:szCs w:val="24"/>
        </w:rPr>
      </w:pPr>
      <w:r w:rsidRPr="00C04CE7">
        <w:rPr>
          <w:rFonts w:eastAsia="Times New Roman" w:cstheme="minorHAnsi"/>
          <w:bCs/>
          <w:sz w:val="24"/>
          <w:szCs w:val="24"/>
        </w:rPr>
        <w:t xml:space="preserve">If old or previously unaccounted for bottles of picric acid </w:t>
      </w:r>
      <w:r w:rsidR="0078573E" w:rsidRPr="00C04CE7">
        <w:rPr>
          <w:rFonts w:eastAsia="Times New Roman" w:cstheme="minorHAnsi"/>
          <w:bCs/>
          <w:sz w:val="24"/>
          <w:szCs w:val="24"/>
        </w:rPr>
        <w:t xml:space="preserve">that lack date received (or expiration date) </w:t>
      </w:r>
      <w:r w:rsidRPr="00C04CE7">
        <w:rPr>
          <w:rFonts w:eastAsia="Times New Roman" w:cstheme="minorHAnsi"/>
          <w:bCs/>
          <w:sz w:val="24"/>
          <w:szCs w:val="24"/>
        </w:rPr>
        <w:t>are discovered, the following steps should be taken.</w:t>
      </w:r>
    </w:p>
    <w:p w14:paraId="096278C8" w14:textId="66AB528E" w:rsidR="007D1C87" w:rsidRPr="007D1C87" w:rsidRDefault="007D1C87" w:rsidP="00E2401B">
      <w:pPr>
        <w:pStyle w:val="ListParagraph"/>
        <w:numPr>
          <w:ilvl w:val="1"/>
          <w:numId w:val="2"/>
        </w:numPr>
        <w:spacing w:after="0" w:line="240" w:lineRule="auto"/>
        <w:ind w:left="720"/>
        <w:rPr>
          <w:rFonts w:eastAsia="Times New Roman" w:cstheme="minorHAnsi"/>
          <w:bCs/>
          <w:sz w:val="24"/>
          <w:szCs w:val="24"/>
        </w:rPr>
      </w:pPr>
      <w:r w:rsidRPr="007D1C87">
        <w:rPr>
          <w:rFonts w:eastAsia="Times New Roman" w:cstheme="minorHAnsi"/>
          <w:bCs/>
          <w:sz w:val="24"/>
          <w:szCs w:val="24"/>
        </w:rPr>
        <w:t xml:space="preserve">DO NOT TOUCH THE CONTAINER! Depending on how long the bottle has been left and the state of the </w:t>
      </w:r>
      <w:r w:rsidR="00C96C30">
        <w:rPr>
          <w:rFonts w:eastAsia="Times New Roman" w:cstheme="minorHAnsi"/>
          <w:bCs/>
          <w:sz w:val="24"/>
          <w:szCs w:val="24"/>
        </w:rPr>
        <w:t>chemical</w:t>
      </w:r>
      <w:r w:rsidRPr="007D1C87">
        <w:rPr>
          <w:rFonts w:eastAsia="Times New Roman" w:cstheme="minorHAnsi"/>
          <w:bCs/>
          <w:sz w:val="24"/>
          <w:szCs w:val="24"/>
        </w:rPr>
        <w:t xml:space="preserve"> inside, even a minor disturbance could be dangerous. Crystals may have formed between the lid and the container. Any attempt to open the container could result in an explosion large enough to do serious damage to personnel and equipment.</w:t>
      </w:r>
    </w:p>
    <w:p w14:paraId="6AA33FC2" w14:textId="0060816B" w:rsidR="007D1C87" w:rsidRPr="007D1C87" w:rsidRDefault="007D1C87" w:rsidP="00E2401B">
      <w:pPr>
        <w:pStyle w:val="ListParagraph"/>
        <w:numPr>
          <w:ilvl w:val="1"/>
          <w:numId w:val="2"/>
        </w:numPr>
        <w:spacing w:after="0" w:line="240" w:lineRule="auto"/>
        <w:ind w:left="720"/>
        <w:rPr>
          <w:rFonts w:eastAsia="Times New Roman" w:cstheme="minorHAnsi"/>
          <w:bCs/>
          <w:sz w:val="24"/>
          <w:szCs w:val="24"/>
        </w:rPr>
      </w:pPr>
      <w:r w:rsidRPr="007D1C87">
        <w:rPr>
          <w:rFonts w:eastAsia="Times New Roman" w:cstheme="minorHAnsi"/>
          <w:bCs/>
          <w:sz w:val="24"/>
          <w:szCs w:val="24"/>
        </w:rPr>
        <w:t>Visually inspect the container for product identification and check for an expiration date. If the product is relatively new, there may not be a problem. Nevertheless, treat the situation carefully.</w:t>
      </w:r>
    </w:p>
    <w:p w14:paraId="777AAAB3" w14:textId="3014152A" w:rsidR="007D1C87" w:rsidRPr="007D1C87" w:rsidRDefault="00B35434" w:rsidP="00E2401B">
      <w:pPr>
        <w:pStyle w:val="ListParagraph"/>
        <w:numPr>
          <w:ilvl w:val="1"/>
          <w:numId w:val="2"/>
        </w:numPr>
        <w:spacing w:after="0" w:line="240" w:lineRule="auto"/>
        <w:ind w:left="720"/>
        <w:rPr>
          <w:rFonts w:eastAsia="Times New Roman" w:cstheme="minorHAnsi"/>
          <w:bCs/>
          <w:sz w:val="24"/>
          <w:szCs w:val="24"/>
        </w:rPr>
      </w:pPr>
      <w:r>
        <w:rPr>
          <w:rFonts w:eastAsia="Times New Roman" w:cstheme="minorHAnsi"/>
          <w:bCs/>
          <w:sz w:val="24"/>
          <w:szCs w:val="24"/>
        </w:rPr>
        <w:t>Visually i</w:t>
      </w:r>
      <w:r w:rsidR="007D1C87" w:rsidRPr="007D1C87">
        <w:rPr>
          <w:rFonts w:eastAsia="Times New Roman" w:cstheme="minorHAnsi"/>
          <w:bCs/>
          <w:sz w:val="24"/>
          <w:szCs w:val="24"/>
        </w:rPr>
        <w:t>nspect the contents of the bottle to determine water content and check for signs of crystallization inside the bottle and around the lid. If there is no evidence of crystal formation and the water content is high</w:t>
      </w:r>
      <w:r w:rsidR="003E6B57">
        <w:rPr>
          <w:rFonts w:eastAsia="Times New Roman" w:cstheme="minorHAnsi"/>
          <w:bCs/>
          <w:sz w:val="24"/>
          <w:szCs w:val="24"/>
        </w:rPr>
        <w:t xml:space="preserve"> (30-40%)</w:t>
      </w:r>
      <w:r w:rsidR="007D1C87" w:rsidRPr="007D1C87">
        <w:rPr>
          <w:rFonts w:eastAsia="Times New Roman" w:cstheme="minorHAnsi"/>
          <w:bCs/>
          <w:sz w:val="24"/>
          <w:szCs w:val="24"/>
        </w:rPr>
        <w:t xml:space="preserve">, there is probably little cause for concern. If there is even the slightest indication of crystallization or low levels of water in the bottle, the situation is more serious. </w:t>
      </w:r>
      <w:r w:rsidR="005D3510" w:rsidRPr="007D1C87">
        <w:rPr>
          <w:rFonts w:eastAsia="Times New Roman" w:cstheme="minorHAnsi"/>
          <w:bCs/>
          <w:sz w:val="24"/>
          <w:szCs w:val="24"/>
        </w:rPr>
        <w:t xml:space="preserve">CONTACT </w:t>
      </w:r>
      <w:r w:rsidR="005D3510">
        <w:rPr>
          <w:rFonts w:eastAsia="Times New Roman" w:cstheme="minorHAnsi"/>
          <w:bCs/>
          <w:sz w:val="24"/>
          <w:szCs w:val="24"/>
        </w:rPr>
        <w:t>OEHS</w:t>
      </w:r>
      <w:r w:rsidR="005D3510" w:rsidRPr="007D1C87">
        <w:rPr>
          <w:rFonts w:eastAsia="Times New Roman" w:cstheme="minorHAnsi"/>
          <w:bCs/>
          <w:sz w:val="24"/>
          <w:szCs w:val="24"/>
        </w:rPr>
        <w:t xml:space="preserve"> </w:t>
      </w:r>
      <w:r w:rsidR="005D3510">
        <w:rPr>
          <w:rFonts w:eastAsia="Times New Roman" w:cstheme="minorHAnsi"/>
          <w:bCs/>
          <w:sz w:val="24"/>
          <w:szCs w:val="24"/>
        </w:rPr>
        <w:t xml:space="preserve">(7-1200) </w:t>
      </w:r>
      <w:r w:rsidR="005D3510" w:rsidRPr="007D1C87">
        <w:rPr>
          <w:rFonts w:eastAsia="Times New Roman" w:cstheme="minorHAnsi"/>
          <w:bCs/>
          <w:sz w:val="24"/>
          <w:szCs w:val="24"/>
        </w:rPr>
        <w:t>IMMEDIATELY FOR GUIDANCE</w:t>
      </w:r>
      <w:r w:rsidR="007D1C87" w:rsidRPr="007D1C87">
        <w:rPr>
          <w:rFonts w:eastAsia="Times New Roman" w:cstheme="minorHAnsi"/>
          <w:bCs/>
          <w:sz w:val="24"/>
          <w:szCs w:val="24"/>
        </w:rPr>
        <w:t xml:space="preserve">! </w:t>
      </w:r>
      <w:r w:rsidR="005D3510">
        <w:rPr>
          <w:rFonts w:eastAsia="Times New Roman" w:cstheme="minorHAnsi"/>
          <w:bCs/>
          <w:sz w:val="24"/>
          <w:szCs w:val="24"/>
        </w:rPr>
        <w:t>S</w:t>
      </w:r>
      <w:r w:rsidR="007D1C87" w:rsidRPr="007D1C87">
        <w:rPr>
          <w:rFonts w:eastAsia="Times New Roman" w:cstheme="minorHAnsi"/>
          <w:bCs/>
          <w:sz w:val="24"/>
          <w:szCs w:val="24"/>
        </w:rPr>
        <w:t>ecure the area and restrict access.</w:t>
      </w:r>
    </w:p>
    <w:p w14:paraId="14B12CBE" w14:textId="00BF9AB1" w:rsidR="007D1C87" w:rsidRPr="007D1C87" w:rsidRDefault="007D1C87" w:rsidP="00E2401B">
      <w:pPr>
        <w:pStyle w:val="ListParagraph"/>
        <w:numPr>
          <w:ilvl w:val="1"/>
          <w:numId w:val="2"/>
        </w:numPr>
        <w:spacing w:after="0" w:line="240" w:lineRule="auto"/>
        <w:ind w:left="720"/>
        <w:rPr>
          <w:rFonts w:eastAsia="Times New Roman" w:cstheme="minorHAnsi"/>
          <w:bCs/>
          <w:sz w:val="24"/>
          <w:szCs w:val="24"/>
        </w:rPr>
      </w:pPr>
      <w:r w:rsidRPr="00E2401B">
        <w:rPr>
          <w:rFonts w:eastAsia="Times New Roman" w:cstheme="minorHAnsi"/>
          <w:b/>
          <w:bCs/>
          <w:sz w:val="24"/>
          <w:szCs w:val="24"/>
          <w:u w:val="single"/>
        </w:rPr>
        <w:t>Dry picric acid or picrate salts should not be touched or moved under any circumstances.</w:t>
      </w:r>
      <w:r w:rsidRPr="007D1C87">
        <w:rPr>
          <w:rFonts w:eastAsia="Times New Roman" w:cstheme="minorHAnsi"/>
          <w:bCs/>
          <w:sz w:val="24"/>
          <w:szCs w:val="24"/>
        </w:rPr>
        <w:t xml:space="preserve"> This is a serious potential hazard.</w:t>
      </w:r>
      <w:r w:rsidR="003E6B57">
        <w:rPr>
          <w:rFonts w:eastAsia="Times New Roman" w:cstheme="minorHAnsi"/>
          <w:bCs/>
          <w:sz w:val="24"/>
          <w:szCs w:val="24"/>
        </w:rPr>
        <w:t xml:space="preserve"> R</w:t>
      </w:r>
      <w:r w:rsidR="003E6B57" w:rsidRPr="00631BC1">
        <w:rPr>
          <w:rFonts w:eastAsia="Times New Roman" w:cstheme="minorHAnsi"/>
          <w:bCs/>
          <w:sz w:val="24"/>
          <w:szCs w:val="24"/>
        </w:rPr>
        <w:t>estrict access to the area</w:t>
      </w:r>
      <w:r w:rsidR="005C3704">
        <w:rPr>
          <w:rFonts w:eastAsia="Times New Roman" w:cstheme="minorHAnsi"/>
          <w:bCs/>
          <w:sz w:val="24"/>
          <w:szCs w:val="24"/>
        </w:rPr>
        <w:t xml:space="preserve"> and contact OEHS (7-1200) </w:t>
      </w:r>
      <w:r w:rsidR="005C3704" w:rsidRPr="007D1C87">
        <w:rPr>
          <w:rFonts w:eastAsia="Times New Roman" w:cstheme="minorHAnsi"/>
          <w:bCs/>
          <w:sz w:val="24"/>
          <w:szCs w:val="24"/>
        </w:rPr>
        <w:t>IMMEDIATELY FOR GUIDANCE!</w:t>
      </w:r>
    </w:p>
    <w:p w14:paraId="30AF2455" w14:textId="0654BBE3" w:rsidR="007D1C87" w:rsidRPr="007D1C87" w:rsidRDefault="007D1C87" w:rsidP="00E2401B">
      <w:pPr>
        <w:pStyle w:val="ListParagraph"/>
        <w:numPr>
          <w:ilvl w:val="1"/>
          <w:numId w:val="2"/>
        </w:numPr>
        <w:spacing w:after="0" w:line="240" w:lineRule="auto"/>
        <w:ind w:left="720"/>
        <w:rPr>
          <w:rFonts w:eastAsia="Times New Roman" w:cstheme="minorHAnsi"/>
          <w:bCs/>
          <w:sz w:val="24"/>
          <w:szCs w:val="24"/>
        </w:rPr>
      </w:pPr>
      <w:r w:rsidRPr="007D1C87">
        <w:rPr>
          <w:rFonts w:eastAsia="Times New Roman" w:cstheme="minorHAnsi"/>
          <w:bCs/>
          <w:sz w:val="24"/>
          <w:szCs w:val="24"/>
        </w:rPr>
        <w:t xml:space="preserve">If you feel that your laboratory may have old picric acid in your chemical inventory, contact </w:t>
      </w:r>
      <w:r w:rsidR="005D3510">
        <w:rPr>
          <w:rFonts w:eastAsia="Times New Roman" w:cstheme="minorHAnsi"/>
          <w:bCs/>
          <w:sz w:val="24"/>
          <w:szCs w:val="24"/>
        </w:rPr>
        <w:t>OEHS</w:t>
      </w:r>
      <w:r w:rsidRPr="007D1C87">
        <w:rPr>
          <w:rFonts w:eastAsia="Times New Roman" w:cstheme="minorHAnsi"/>
          <w:bCs/>
          <w:sz w:val="24"/>
          <w:szCs w:val="24"/>
        </w:rPr>
        <w:t xml:space="preserve"> </w:t>
      </w:r>
      <w:r w:rsidR="005D3510">
        <w:rPr>
          <w:rFonts w:eastAsia="Times New Roman" w:cstheme="minorHAnsi"/>
          <w:bCs/>
          <w:sz w:val="24"/>
          <w:szCs w:val="24"/>
        </w:rPr>
        <w:t xml:space="preserve">Hazardous Waste Team </w:t>
      </w:r>
      <w:r w:rsidRPr="007D1C87">
        <w:rPr>
          <w:rFonts w:eastAsia="Times New Roman" w:cstheme="minorHAnsi"/>
          <w:bCs/>
          <w:sz w:val="24"/>
          <w:szCs w:val="24"/>
        </w:rPr>
        <w:t>(</w:t>
      </w:r>
      <w:r w:rsidR="005D3510">
        <w:rPr>
          <w:rFonts w:eastAsia="Times New Roman" w:cstheme="minorHAnsi"/>
          <w:bCs/>
          <w:sz w:val="24"/>
          <w:szCs w:val="24"/>
        </w:rPr>
        <w:t>7-1200</w:t>
      </w:r>
      <w:r w:rsidRPr="007D1C87">
        <w:rPr>
          <w:rFonts w:eastAsia="Times New Roman" w:cstheme="minorHAnsi"/>
          <w:bCs/>
          <w:sz w:val="24"/>
          <w:szCs w:val="24"/>
        </w:rPr>
        <w:t>) for a special pick-up to have it removed</w:t>
      </w:r>
      <w:r w:rsidR="005D3510">
        <w:rPr>
          <w:rFonts w:eastAsia="Times New Roman" w:cstheme="minorHAnsi"/>
          <w:bCs/>
          <w:sz w:val="24"/>
          <w:szCs w:val="24"/>
        </w:rPr>
        <w:t>.</w:t>
      </w:r>
      <w:r w:rsidRPr="007D1C87">
        <w:rPr>
          <w:rFonts w:eastAsia="Times New Roman" w:cstheme="minorHAnsi"/>
          <w:bCs/>
          <w:sz w:val="24"/>
          <w:szCs w:val="24"/>
        </w:rPr>
        <w:t xml:space="preserve"> </w:t>
      </w:r>
      <w:r w:rsidR="005D3510">
        <w:rPr>
          <w:rFonts w:eastAsia="Times New Roman" w:cstheme="minorHAnsi"/>
          <w:bCs/>
          <w:sz w:val="24"/>
          <w:szCs w:val="24"/>
        </w:rPr>
        <w:t>D</w:t>
      </w:r>
      <w:r w:rsidRPr="007D1C87">
        <w:rPr>
          <w:rFonts w:eastAsia="Times New Roman" w:cstheme="minorHAnsi"/>
          <w:bCs/>
          <w:sz w:val="24"/>
          <w:szCs w:val="24"/>
        </w:rPr>
        <w:t>o not handle it yourself.</w:t>
      </w:r>
    </w:p>
    <w:p w14:paraId="539EC2CE" w14:textId="7BAC87BC" w:rsidR="00927A97" w:rsidRDefault="00927A97" w:rsidP="005355FB">
      <w:pPr>
        <w:shd w:val="clear" w:color="auto" w:fill="D9D9D9" w:themeFill="background1" w:themeFillShade="D9"/>
        <w:spacing w:before="80" w:after="80" w:line="240" w:lineRule="auto"/>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Personal Protective Equipment</w:t>
      </w:r>
    </w:p>
    <w:p w14:paraId="3AF9DE86" w14:textId="4243A482" w:rsidR="00B74290" w:rsidRPr="006C309F" w:rsidRDefault="00B74290" w:rsidP="00B74290">
      <w:pPr>
        <w:spacing w:after="0" w:line="240" w:lineRule="auto"/>
        <w:rPr>
          <w:rFonts w:cstheme="minorHAnsi"/>
          <w:sz w:val="24"/>
          <w:szCs w:val="24"/>
        </w:rPr>
      </w:pPr>
      <w:r w:rsidRPr="006C309F">
        <w:rPr>
          <w:rFonts w:cstheme="minorHAnsi"/>
          <w:sz w:val="24"/>
          <w:szCs w:val="24"/>
        </w:rPr>
        <w:t xml:space="preserve">In addition to proper street clothing (long pants or equivalent that cover legs and ankles, close-toed non-perforated shoes that completely cover the feet), wear the following </w:t>
      </w:r>
      <w:r>
        <w:rPr>
          <w:rFonts w:cstheme="minorHAnsi"/>
          <w:sz w:val="24"/>
          <w:szCs w:val="24"/>
        </w:rPr>
        <w:t xml:space="preserve">minimum </w:t>
      </w:r>
      <w:r w:rsidRPr="006C309F">
        <w:rPr>
          <w:rFonts w:cstheme="minorHAnsi"/>
          <w:sz w:val="24"/>
          <w:szCs w:val="24"/>
        </w:rPr>
        <w:t>Personal Protective Equipment (PPE) when performing lab operations/tasks:</w:t>
      </w:r>
    </w:p>
    <w:p w14:paraId="5E675013" w14:textId="77777777" w:rsidR="00B74290" w:rsidRPr="006C309F" w:rsidRDefault="00B74290" w:rsidP="00B34ADB">
      <w:pPr>
        <w:pStyle w:val="ListParagraph"/>
        <w:numPr>
          <w:ilvl w:val="0"/>
          <w:numId w:val="12"/>
        </w:numPr>
        <w:spacing w:after="0" w:line="240" w:lineRule="auto"/>
        <w:rPr>
          <w:rFonts w:eastAsia="Times New Roman" w:cstheme="minorHAnsi"/>
          <w:szCs w:val="24"/>
        </w:rPr>
      </w:pPr>
      <w:r w:rsidRPr="006C309F">
        <w:rPr>
          <w:rFonts w:eastAsia="Times New Roman" w:cstheme="minorHAnsi"/>
          <w:szCs w:val="24"/>
        </w:rPr>
        <w:t>Safety glasses (If splash potential exists, use goggles + face shield instead)</w:t>
      </w:r>
    </w:p>
    <w:p w14:paraId="21813CC5" w14:textId="77777777" w:rsidR="00E2401B" w:rsidRDefault="00B74290" w:rsidP="00E2401B">
      <w:pPr>
        <w:pStyle w:val="ListParagraph"/>
        <w:numPr>
          <w:ilvl w:val="0"/>
          <w:numId w:val="12"/>
        </w:numPr>
        <w:spacing w:after="0" w:line="240" w:lineRule="auto"/>
        <w:rPr>
          <w:rFonts w:eastAsia="Times New Roman" w:cstheme="minorHAnsi"/>
          <w:szCs w:val="24"/>
        </w:rPr>
      </w:pPr>
      <w:r w:rsidRPr="006C309F">
        <w:rPr>
          <w:rFonts w:eastAsia="Times New Roman" w:cstheme="minorHAnsi"/>
          <w:szCs w:val="24"/>
        </w:rPr>
        <w:t>Lab coat.</w:t>
      </w:r>
    </w:p>
    <w:p w14:paraId="5BC40A2F" w14:textId="1FD09F70" w:rsidR="00B74290" w:rsidRPr="00E2401B" w:rsidRDefault="00B74290" w:rsidP="00E2401B">
      <w:pPr>
        <w:pStyle w:val="ListParagraph"/>
        <w:numPr>
          <w:ilvl w:val="1"/>
          <w:numId w:val="12"/>
        </w:numPr>
        <w:spacing w:after="0" w:line="240" w:lineRule="auto"/>
        <w:ind w:left="720"/>
        <w:rPr>
          <w:rFonts w:eastAsia="Times New Roman" w:cstheme="minorHAnsi"/>
          <w:szCs w:val="24"/>
        </w:rPr>
      </w:pPr>
      <w:r w:rsidRPr="00E2401B">
        <w:rPr>
          <w:rFonts w:eastAsia="Times New Roman" w:cstheme="minorHAnsi"/>
          <w:szCs w:val="24"/>
        </w:rPr>
        <w:t xml:space="preserve">Hazard assessment of procedures may indicate the need for a </w:t>
      </w:r>
      <w:r w:rsidR="00DF76A8" w:rsidRPr="00E2401B">
        <w:rPr>
          <w:rFonts w:eastAsia="Times New Roman" w:cstheme="minorHAnsi"/>
          <w:szCs w:val="24"/>
        </w:rPr>
        <w:t>flame-resistant</w:t>
      </w:r>
      <w:r w:rsidRPr="00E2401B">
        <w:rPr>
          <w:rFonts w:eastAsia="Times New Roman" w:cstheme="minorHAnsi"/>
          <w:szCs w:val="24"/>
        </w:rPr>
        <w:t xml:space="preserve"> lab coat, such as Nomex.</w:t>
      </w:r>
    </w:p>
    <w:p w14:paraId="0AC785A5" w14:textId="7144C94A" w:rsidR="00B74290" w:rsidRDefault="00E713BD" w:rsidP="00B34ADB">
      <w:pPr>
        <w:pStyle w:val="ListParagraph"/>
        <w:numPr>
          <w:ilvl w:val="0"/>
          <w:numId w:val="12"/>
        </w:numPr>
        <w:spacing w:after="0" w:line="240" w:lineRule="auto"/>
        <w:rPr>
          <w:rFonts w:eastAsia="Times New Roman" w:cstheme="minorHAnsi"/>
          <w:szCs w:val="24"/>
        </w:rPr>
      </w:pPr>
      <w:r>
        <w:rPr>
          <w:rFonts w:eastAsia="Times New Roman" w:cstheme="minorHAnsi"/>
          <w:szCs w:val="24"/>
        </w:rPr>
        <w:t>G</w:t>
      </w:r>
      <w:r w:rsidR="00B74290" w:rsidRPr="006C309F">
        <w:rPr>
          <w:rFonts w:eastAsia="Times New Roman" w:cstheme="minorHAnsi"/>
          <w:szCs w:val="24"/>
        </w:rPr>
        <w:t>loves</w:t>
      </w:r>
      <w:r>
        <w:rPr>
          <w:rFonts w:eastAsia="Times New Roman" w:cstheme="minorHAnsi"/>
          <w:szCs w:val="24"/>
        </w:rPr>
        <w:t xml:space="preserve"> – nitrile, neoprene, or other compatible gloves</w:t>
      </w:r>
      <w:r w:rsidR="00B74290" w:rsidRPr="006C309F">
        <w:rPr>
          <w:rFonts w:eastAsia="Times New Roman" w:cstheme="minorHAnsi"/>
          <w:szCs w:val="24"/>
        </w:rPr>
        <w:t>.</w:t>
      </w:r>
    </w:p>
    <w:p w14:paraId="11FF6B1C" w14:textId="5567305D" w:rsidR="00927A97" w:rsidRPr="00B74290" w:rsidRDefault="00B74290" w:rsidP="00E2401B">
      <w:pPr>
        <w:pStyle w:val="ListParagraph"/>
        <w:numPr>
          <w:ilvl w:val="1"/>
          <w:numId w:val="14"/>
        </w:numPr>
        <w:spacing w:after="0" w:line="240" w:lineRule="auto"/>
        <w:ind w:left="720"/>
        <w:rPr>
          <w:sz w:val="24"/>
          <w:szCs w:val="24"/>
        </w:rPr>
      </w:pPr>
      <w:r w:rsidRPr="00B74290">
        <w:rPr>
          <w:rFonts w:eastAsia="Times New Roman" w:cstheme="minorHAnsi"/>
          <w:szCs w:val="24"/>
        </w:rPr>
        <w:t xml:space="preserve">Refer to Section 8 “Exposure controls/personal protection” of SDS or a glove selection guide (e.g. </w:t>
      </w:r>
      <w:hyperlink r:id="rId12" w:anchor="hp" w:history="1">
        <w:r w:rsidRPr="00B74290">
          <w:rPr>
            <w:rStyle w:val="Hyperlink"/>
            <w:rFonts w:eastAsia="Times New Roman" w:cstheme="minorHAnsi"/>
            <w:szCs w:val="24"/>
          </w:rPr>
          <w:t>Ansell Chemical Protection Guide</w:t>
        </w:r>
      </w:hyperlink>
      <w:r w:rsidRPr="00B74290">
        <w:rPr>
          <w:rFonts w:eastAsia="Times New Roman" w:cstheme="minorHAnsi"/>
          <w:szCs w:val="24"/>
        </w:rPr>
        <w:t>) to identify appropriate glove type.</w:t>
      </w:r>
    </w:p>
    <w:p w14:paraId="7320F6A8" w14:textId="0CA4312E" w:rsidR="00CB4E9A" w:rsidRDefault="00CB4E9A" w:rsidP="005355FB">
      <w:pPr>
        <w:shd w:val="clear" w:color="auto" w:fill="D9D9D9" w:themeFill="background1" w:themeFillShade="D9"/>
        <w:spacing w:before="80" w:after="80" w:line="240" w:lineRule="auto"/>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Storage</w:t>
      </w:r>
    </w:p>
    <w:p w14:paraId="5C3179BB" w14:textId="618B36CA" w:rsidR="0029281B" w:rsidRPr="0029281B" w:rsidRDefault="0029281B" w:rsidP="0029281B">
      <w:pPr>
        <w:pStyle w:val="ListParagraph"/>
        <w:numPr>
          <w:ilvl w:val="0"/>
          <w:numId w:val="2"/>
        </w:numPr>
        <w:spacing w:after="0" w:line="240" w:lineRule="auto"/>
        <w:rPr>
          <w:sz w:val="24"/>
          <w:szCs w:val="24"/>
        </w:rPr>
      </w:pPr>
      <w:r w:rsidRPr="0029281B">
        <w:rPr>
          <w:sz w:val="24"/>
          <w:szCs w:val="24"/>
        </w:rPr>
        <w:t>Label containers of picric acid or picric acid solutions with date received and date opened.</w:t>
      </w:r>
      <w:r w:rsidR="00927A97">
        <w:rPr>
          <w:sz w:val="24"/>
          <w:szCs w:val="24"/>
        </w:rPr>
        <w:t xml:space="preserve"> Dispose of withing 2 years of purchase.</w:t>
      </w:r>
    </w:p>
    <w:p w14:paraId="038C8D15" w14:textId="2B419BFE" w:rsidR="00EF4482" w:rsidRDefault="00C4530B" w:rsidP="00D04471">
      <w:pPr>
        <w:pStyle w:val="ListParagraph"/>
        <w:numPr>
          <w:ilvl w:val="0"/>
          <w:numId w:val="2"/>
        </w:numPr>
        <w:spacing w:after="0" w:line="240" w:lineRule="auto"/>
        <w:rPr>
          <w:sz w:val="24"/>
          <w:szCs w:val="24"/>
        </w:rPr>
      </w:pPr>
      <w:r w:rsidRPr="00C4530B">
        <w:rPr>
          <w:sz w:val="24"/>
          <w:szCs w:val="24"/>
        </w:rPr>
        <w:t>Picric acid must be placed in a secondary container and stored in a dry, dark environment away from potential sources of ignition and incompatible materials</w:t>
      </w:r>
      <w:r w:rsidR="00E713BD">
        <w:rPr>
          <w:sz w:val="24"/>
          <w:szCs w:val="24"/>
        </w:rPr>
        <w:t>, preferably in a flammable cabinet</w:t>
      </w:r>
      <w:r w:rsidRPr="00C4530B">
        <w:rPr>
          <w:sz w:val="24"/>
          <w:szCs w:val="24"/>
        </w:rPr>
        <w:t xml:space="preserve">. Note - if lab </w:t>
      </w:r>
      <w:r w:rsidRPr="00C4530B">
        <w:rPr>
          <w:sz w:val="24"/>
          <w:szCs w:val="24"/>
        </w:rPr>
        <w:lastRenderedPageBreak/>
        <w:t>does not have a flammable cabinet, store in a specific, labeled, dry, dark cabinet away from potential sources of ignition and incompatible materials.</w:t>
      </w:r>
      <w:r w:rsidR="0016536C">
        <w:rPr>
          <w:sz w:val="24"/>
          <w:szCs w:val="24"/>
        </w:rPr>
        <w:t xml:space="preserve"> See section 10 of SDS for incompatible materials.</w:t>
      </w:r>
    </w:p>
    <w:p w14:paraId="07554BB4" w14:textId="52292787" w:rsidR="00C4530B" w:rsidRDefault="00C4530B" w:rsidP="00D04471">
      <w:pPr>
        <w:pStyle w:val="ListParagraph"/>
        <w:numPr>
          <w:ilvl w:val="0"/>
          <w:numId w:val="2"/>
        </w:numPr>
        <w:spacing w:after="0" w:line="240" w:lineRule="auto"/>
        <w:rPr>
          <w:sz w:val="24"/>
          <w:szCs w:val="24"/>
        </w:rPr>
      </w:pPr>
      <w:r w:rsidRPr="00C4530B">
        <w:rPr>
          <w:sz w:val="24"/>
          <w:szCs w:val="24"/>
        </w:rPr>
        <w:t>Do not store in metal containers as it can form highly explosive metal picrate salts.</w:t>
      </w:r>
      <w:r w:rsidR="002F6569">
        <w:rPr>
          <w:sz w:val="24"/>
          <w:szCs w:val="24"/>
        </w:rPr>
        <w:t xml:space="preserve"> </w:t>
      </w:r>
      <w:r w:rsidR="004861CA">
        <w:rPr>
          <w:sz w:val="24"/>
          <w:szCs w:val="24"/>
        </w:rPr>
        <w:t>I</w:t>
      </w:r>
      <w:r w:rsidR="002F6569">
        <w:rPr>
          <w:sz w:val="24"/>
          <w:szCs w:val="24"/>
        </w:rPr>
        <w:t xml:space="preserve">f any old picric acid bottle with a metal cap is </w:t>
      </w:r>
      <w:r w:rsidR="00F51477">
        <w:rPr>
          <w:sz w:val="24"/>
          <w:szCs w:val="24"/>
        </w:rPr>
        <w:t>found</w:t>
      </w:r>
      <w:r w:rsidR="002F6569">
        <w:rPr>
          <w:sz w:val="24"/>
          <w:szCs w:val="24"/>
        </w:rPr>
        <w:t xml:space="preserve"> in the lab, evacuate the area immediately, and contact </w:t>
      </w:r>
      <w:r w:rsidR="004C0185">
        <w:rPr>
          <w:sz w:val="24"/>
          <w:szCs w:val="24"/>
        </w:rPr>
        <w:t>OEHS</w:t>
      </w:r>
      <w:r w:rsidR="002F6569">
        <w:rPr>
          <w:sz w:val="24"/>
          <w:szCs w:val="24"/>
        </w:rPr>
        <w:t xml:space="preserve"> (7-</w:t>
      </w:r>
      <w:r w:rsidR="004C0185">
        <w:rPr>
          <w:sz w:val="24"/>
          <w:szCs w:val="24"/>
        </w:rPr>
        <w:t>1200</w:t>
      </w:r>
      <w:r w:rsidR="002F6569">
        <w:rPr>
          <w:sz w:val="24"/>
          <w:szCs w:val="24"/>
        </w:rPr>
        <w:t>).</w:t>
      </w:r>
    </w:p>
    <w:p w14:paraId="7117E614" w14:textId="7D08FB8A" w:rsidR="0029281B" w:rsidRPr="00EF4482" w:rsidRDefault="00EF4482" w:rsidP="00D04471">
      <w:pPr>
        <w:pStyle w:val="ListParagraph"/>
        <w:numPr>
          <w:ilvl w:val="0"/>
          <w:numId w:val="2"/>
        </w:numPr>
        <w:spacing w:after="0" w:line="240" w:lineRule="auto"/>
        <w:rPr>
          <w:sz w:val="24"/>
          <w:szCs w:val="24"/>
        </w:rPr>
      </w:pPr>
      <w:r w:rsidRPr="00EF4482">
        <w:rPr>
          <w:sz w:val="24"/>
          <w:szCs w:val="24"/>
        </w:rPr>
        <w:t>Store</w:t>
      </w:r>
      <w:r w:rsidR="00C4530B">
        <w:rPr>
          <w:sz w:val="24"/>
          <w:szCs w:val="24"/>
        </w:rPr>
        <w:t xml:space="preserve"> containers</w:t>
      </w:r>
      <w:r w:rsidRPr="00EF4482">
        <w:rPr>
          <w:sz w:val="24"/>
          <w:szCs w:val="24"/>
        </w:rPr>
        <w:t xml:space="preserve"> in </w:t>
      </w:r>
      <w:r>
        <w:rPr>
          <w:sz w:val="24"/>
          <w:szCs w:val="24"/>
        </w:rPr>
        <w:t xml:space="preserve">a </w:t>
      </w:r>
      <w:r w:rsidRPr="00EF4482">
        <w:rPr>
          <w:sz w:val="24"/>
          <w:szCs w:val="24"/>
        </w:rPr>
        <w:t>polyethylene secondary container</w:t>
      </w:r>
      <w:r>
        <w:rPr>
          <w:sz w:val="24"/>
          <w:szCs w:val="24"/>
        </w:rPr>
        <w:t>,</w:t>
      </w:r>
      <w:r w:rsidRPr="00EF4482">
        <w:rPr>
          <w:sz w:val="24"/>
          <w:szCs w:val="24"/>
        </w:rPr>
        <w:t xml:space="preserve"> large enough to contain the entire contents if the original container should rupture</w:t>
      </w:r>
      <w:r w:rsidR="00C4530B">
        <w:rPr>
          <w:sz w:val="24"/>
          <w:szCs w:val="24"/>
        </w:rPr>
        <w:t>.</w:t>
      </w:r>
    </w:p>
    <w:p w14:paraId="46139340" w14:textId="30D2115E" w:rsidR="00CB4E9A" w:rsidRDefault="0029281B" w:rsidP="00357243">
      <w:pPr>
        <w:pStyle w:val="ListParagraph"/>
        <w:numPr>
          <w:ilvl w:val="0"/>
          <w:numId w:val="2"/>
        </w:numPr>
        <w:spacing w:after="0" w:line="240" w:lineRule="auto"/>
        <w:rPr>
          <w:sz w:val="24"/>
          <w:szCs w:val="24"/>
        </w:rPr>
      </w:pPr>
      <w:r w:rsidRPr="00927A97">
        <w:rPr>
          <w:sz w:val="24"/>
          <w:szCs w:val="24"/>
        </w:rPr>
        <w:t>Keep solids wet – ensure the solid is under a layer of water.</w:t>
      </w:r>
    </w:p>
    <w:p w14:paraId="05F103D1" w14:textId="57ECF054" w:rsidR="00607B23" w:rsidRDefault="00607B23" w:rsidP="00401649">
      <w:pPr>
        <w:spacing w:before="120" w:after="0" w:line="240" w:lineRule="auto"/>
        <w:rPr>
          <w:b/>
          <w:bCs/>
          <w:sz w:val="24"/>
          <w:szCs w:val="24"/>
        </w:rPr>
      </w:pPr>
      <w:r w:rsidRPr="00607B23">
        <w:rPr>
          <w:b/>
          <w:bCs/>
          <w:sz w:val="24"/>
          <w:szCs w:val="24"/>
        </w:rPr>
        <w:t>Self‐Inspection of Picric Acid Containers</w:t>
      </w:r>
    </w:p>
    <w:p w14:paraId="37CCB88F" w14:textId="5B0DD524" w:rsidR="00401649" w:rsidRPr="00401649" w:rsidRDefault="00401649" w:rsidP="00401649">
      <w:pPr>
        <w:spacing w:after="0" w:line="240" w:lineRule="auto"/>
        <w:rPr>
          <w:sz w:val="24"/>
          <w:szCs w:val="24"/>
        </w:rPr>
      </w:pPr>
      <w:r>
        <w:rPr>
          <w:sz w:val="24"/>
          <w:szCs w:val="24"/>
        </w:rPr>
        <w:t xml:space="preserve">Due to the hazards associated with dry picric acid, laboratories using and storing </w:t>
      </w:r>
      <w:r w:rsidR="00FE15EB">
        <w:rPr>
          <w:sz w:val="24"/>
          <w:szCs w:val="24"/>
        </w:rPr>
        <w:t>picric acid</w:t>
      </w:r>
      <w:r>
        <w:rPr>
          <w:sz w:val="24"/>
          <w:szCs w:val="24"/>
        </w:rPr>
        <w:t xml:space="preserve"> must conduct regular inspections of the containers as outlined below and document it.</w:t>
      </w:r>
    </w:p>
    <w:p w14:paraId="0EAACE9D" w14:textId="7AF5A4AB" w:rsidR="00607B23" w:rsidRDefault="00607B23" w:rsidP="00A96425">
      <w:pPr>
        <w:pStyle w:val="ListParagraph"/>
        <w:numPr>
          <w:ilvl w:val="0"/>
          <w:numId w:val="9"/>
        </w:numPr>
        <w:spacing w:after="0" w:line="240" w:lineRule="auto"/>
        <w:rPr>
          <w:sz w:val="24"/>
          <w:szCs w:val="24"/>
        </w:rPr>
      </w:pPr>
      <w:r>
        <w:rPr>
          <w:sz w:val="24"/>
          <w:szCs w:val="24"/>
        </w:rPr>
        <w:t>Post an inspection log near the picric acid storage location (see last page of this document).</w:t>
      </w:r>
    </w:p>
    <w:p w14:paraId="3CBB294F" w14:textId="1269E8B9" w:rsidR="00607B23" w:rsidRPr="000C3C01" w:rsidRDefault="00607B23" w:rsidP="00C71C1B">
      <w:pPr>
        <w:pStyle w:val="ListParagraph"/>
        <w:numPr>
          <w:ilvl w:val="0"/>
          <w:numId w:val="9"/>
        </w:numPr>
        <w:spacing w:after="0" w:line="240" w:lineRule="auto"/>
        <w:rPr>
          <w:sz w:val="24"/>
          <w:szCs w:val="24"/>
        </w:rPr>
      </w:pPr>
      <w:r w:rsidRPr="000C3C01">
        <w:rPr>
          <w:sz w:val="24"/>
          <w:szCs w:val="24"/>
        </w:rPr>
        <w:t xml:space="preserve">Inspect picric acid containers </w:t>
      </w:r>
      <w:r w:rsidR="004C0185">
        <w:rPr>
          <w:sz w:val="24"/>
          <w:szCs w:val="24"/>
        </w:rPr>
        <w:t>at</w:t>
      </w:r>
      <w:r w:rsidRPr="000C3C01">
        <w:rPr>
          <w:sz w:val="24"/>
          <w:szCs w:val="24"/>
        </w:rPr>
        <w:t xml:space="preserve"> a </w:t>
      </w:r>
      <w:r w:rsidR="004C0185">
        <w:rPr>
          <w:sz w:val="24"/>
          <w:szCs w:val="24"/>
        </w:rPr>
        <w:t xml:space="preserve">minimum </w:t>
      </w:r>
      <w:r w:rsidRPr="000C3C01">
        <w:rPr>
          <w:sz w:val="24"/>
          <w:szCs w:val="24"/>
        </w:rPr>
        <w:t>quarterly</w:t>
      </w:r>
      <w:r w:rsidR="000C3C01">
        <w:rPr>
          <w:sz w:val="24"/>
          <w:szCs w:val="24"/>
        </w:rPr>
        <w:t>.</w:t>
      </w:r>
      <w:r w:rsidRPr="000C3C01">
        <w:rPr>
          <w:sz w:val="24"/>
          <w:szCs w:val="24"/>
        </w:rPr>
        <w:t xml:space="preserve"> </w:t>
      </w:r>
      <w:r w:rsidR="000C3C01">
        <w:rPr>
          <w:sz w:val="24"/>
          <w:szCs w:val="24"/>
        </w:rPr>
        <w:t>A</w:t>
      </w:r>
      <w:r w:rsidRPr="000C3C01">
        <w:rPr>
          <w:sz w:val="24"/>
          <w:szCs w:val="24"/>
        </w:rPr>
        <w:t>ssign this responsibility to a lab member trained on the hazards</w:t>
      </w:r>
      <w:r w:rsidR="000C3C01" w:rsidRPr="000C3C01">
        <w:rPr>
          <w:sz w:val="24"/>
          <w:szCs w:val="24"/>
        </w:rPr>
        <w:t xml:space="preserve"> </w:t>
      </w:r>
      <w:r w:rsidRPr="000C3C01">
        <w:rPr>
          <w:sz w:val="24"/>
          <w:szCs w:val="24"/>
        </w:rPr>
        <w:t>of picric acid. Document inspections on</w:t>
      </w:r>
      <w:r w:rsidR="000C3C01">
        <w:rPr>
          <w:sz w:val="24"/>
          <w:szCs w:val="24"/>
        </w:rPr>
        <w:t xml:space="preserve"> the log.</w:t>
      </w:r>
    </w:p>
    <w:p w14:paraId="4963DD6D" w14:textId="50A3AAAD" w:rsidR="00607B23" w:rsidRDefault="00607B23" w:rsidP="00A96425">
      <w:pPr>
        <w:pStyle w:val="ListParagraph"/>
        <w:numPr>
          <w:ilvl w:val="0"/>
          <w:numId w:val="9"/>
        </w:numPr>
        <w:spacing w:after="0" w:line="240" w:lineRule="auto"/>
        <w:rPr>
          <w:sz w:val="24"/>
          <w:szCs w:val="24"/>
        </w:rPr>
      </w:pPr>
      <w:r w:rsidRPr="00607B23">
        <w:rPr>
          <w:sz w:val="24"/>
          <w:szCs w:val="24"/>
        </w:rPr>
        <w:t>First, without opening the bottle, check that no dried crystals have formed on the outside of the bottle near the cap and that there is a layer of water over the crystals within the bottle</w:t>
      </w:r>
      <w:r w:rsidR="00F51477">
        <w:rPr>
          <w:sz w:val="24"/>
          <w:szCs w:val="24"/>
        </w:rPr>
        <w:t xml:space="preserve"> (at least 10% of total)</w:t>
      </w:r>
      <w:r w:rsidRPr="00607B23">
        <w:rPr>
          <w:sz w:val="24"/>
          <w:szCs w:val="24"/>
        </w:rPr>
        <w:t>.</w:t>
      </w:r>
    </w:p>
    <w:p w14:paraId="2CCC90A4" w14:textId="7BFDD660" w:rsidR="00607B23" w:rsidRDefault="00607B23" w:rsidP="00321A51">
      <w:pPr>
        <w:pStyle w:val="ListParagraph"/>
        <w:numPr>
          <w:ilvl w:val="0"/>
          <w:numId w:val="9"/>
        </w:numPr>
        <w:spacing w:after="0" w:line="240" w:lineRule="auto"/>
        <w:rPr>
          <w:sz w:val="24"/>
          <w:szCs w:val="24"/>
        </w:rPr>
      </w:pPr>
      <w:r w:rsidRPr="00607B23">
        <w:rPr>
          <w:sz w:val="24"/>
          <w:szCs w:val="24"/>
        </w:rPr>
        <w:t>If there is any evidence of picric acid crystals</w:t>
      </w:r>
      <w:r w:rsidR="00F51477">
        <w:rPr>
          <w:sz w:val="24"/>
          <w:szCs w:val="24"/>
        </w:rPr>
        <w:t xml:space="preserve"> on the</w:t>
      </w:r>
      <w:r w:rsidRPr="00607B23">
        <w:rPr>
          <w:sz w:val="24"/>
          <w:szCs w:val="24"/>
        </w:rPr>
        <w:t xml:space="preserve"> outside </w:t>
      </w:r>
      <w:r w:rsidR="00F51477">
        <w:rPr>
          <w:sz w:val="24"/>
          <w:szCs w:val="24"/>
        </w:rPr>
        <w:t xml:space="preserve">of </w:t>
      </w:r>
      <w:r w:rsidRPr="00607B23">
        <w:rPr>
          <w:sz w:val="24"/>
          <w:szCs w:val="24"/>
        </w:rPr>
        <w:t xml:space="preserve">the bottle or </w:t>
      </w:r>
      <w:r>
        <w:rPr>
          <w:sz w:val="24"/>
          <w:szCs w:val="24"/>
        </w:rPr>
        <w:t>i</w:t>
      </w:r>
      <w:r w:rsidRPr="00607B23">
        <w:rPr>
          <w:sz w:val="24"/>
          <w:szCs w:val="24"/>
        </w:rPr>
        <w:t>f the picric acid inside the bottle is not adequately wetted</w:t>
      </w:r>
      <w:r w:rsidR="005C3704">
        <w:rPr>
          <w:sz w:val="24"/>
          <w:szCs w:val="24"/>
        </w:rPr>
        <w:t xml:space="preserve"> (water level less than </w:t>
      </w:r>
      <w:r w:rsidR="00F51477">
        <w:rPr>
          <w:sz w:val="24"/>
          <w:szCs w:val="24"/>
        </w:rPr>
        <w:t>10%</w:t>
      </w:r>
      <w:r w:rsidR="005C3704">
        <w:rPr>
          <w:sz w:val="24"/>
          <w:szCs w:val="24"/>
        </w:rPr>
        <w:t>)</w:t>
      </w:r>
      <w:r w:rsidRPr="00607B23">
        <w:rPr>
          <w:sz w:val="24"/>
          <w:szCs w:val="24"/>
        </w:rPr>
        <w:t xml:space="preserve">, dried crystals may also be present within the threads of the container. This presents a potential detonation hazard when opening the container. Contact </w:t>
      </w:r>
      <w:r>
        <w:rPr>
          <w:sz w:val="24"/>
          <w:szCs w:val="24"/>
        </w:rPr>
        <w:t>OEHS</w:t>
      </w:r>
      <w:r w:rsidRPr="00607B23">
        <w:rPr>
          <w:sz w:val="24"/>
          <w:szCs w:val="24"/>
        </w:rPr>
        <w:t xml:space="preserve"> immediately</w:t>
      </w:r>
      <w:r>
        <w:rPr>
          <w:sz w:val="24"/>
          <w:szCs w:val="24"/>
        </w:rPr>
        <w:t xml:space="preserve"> (7-1200)</w:t>
      </w:r>
      <w:r w:rsidRPr="00607B23">
        <w:rPr>
          <w:sz w:val="24"/>
          <w:szCs w:val="24"/>
        </w:rPr>
        <w:t>.</w:t>
      </w:r>
    </w:p>
    <w:p w14:paraId="0E0F12A7" w14:textId="6BA92127" w:rsidR="000C3C01" w:rsidRPr="000C3C01" w:rsidRDefault="00FE15EB" w:rsidP="002E345C">
      <w:pPr>
        <w:pStyle w:val="ListParagraph"/>
        <w:numPr>
          <w:ilvl w:val="0"/>
          <w:numId w:val="9"/>
        </w:numPr>
        <w:spacing w:after="0" w:line="240" w:lineRule="auto"/>
        <w:rPr>
          <w:sz w:val="24"/>
          <w:szCs w:val="24"/>
        </w:rPr>
      </w:pPr>
      <w:r>
        <w:rPr>
          <w:sz w:val="24"/>
          <w:szCs w:val="24"/>
        </w:rPr>
        <w:t>For containers of moistened or saturated picric acid, i</w:t>
      </w:r>
      <w:r w:rsidR="000C3C01" w:rsidRPr="000C3C01">
        <w:rPr>
          <w:sz w:val="24"/>
          <w:szCs w:val="24"/>
        </w:rPr>
        <w:t xml:space="preserve">f the container appears safe to open, rehydrate contents with </w:t>
      </w:r>
      <w:r w:rsidR="00401649">
        <w:rPr>
          <w:sz w:val="24"/>
          <w:szCs w:val="24"/>
        </w:rPr>
        <w:t>water</w:t>
      </w:r>
      <w:r w:rsidR="000C3C01" w:rsidRPr="000C3C01">
        <w:rPr>
          <w:sz w:val="24"/>
          <w:szCs w:val="24"/>
        </w:rPr>
        <w:t xml:space="preserve">, as needed, to ensure a </w:t>
      </w:r>
      <w:r>
        <w:rPr>
          <w:sz w:val="24"/>
          <w:szCs w:val="24"/>
        </w:rPr>
        <w:t xml:space="preserve">sufficient </w:t>
      </w:r>
      <w:r w:rsidR="000C3C01" w:rsidRPr="000C3C01">
        <w:rPr>
          <w:sz w:val="24"/>
          <w:szCs w:val="24"/>
        </w:rPr>
        <w:t xml:space="preserve">layer of water above the </w:t>
      </w:r>
      <w:r w:rsidR="00281942">
        <w:rPr>
          <w:sz w:val="24"/>
          <w:szCs w:val="24"/>
        </w:rPr>
        <w:t>solid</w:t>
      </w:r>
      <w:r w:rsidR="00AE60B2">
        <w:rPr>
          <w:sz w:val="24"/>
          <w:szCs w:val="24"/>
        </w:rPr>
        <w:t xml:space="preserve"> (between 10%-40% of t</w:t>
      </w:r>
      <w:r w:rsidR="00D97DC0">
        <w:rPr>
          <w:sz w:val="24"/>
          <w:szCs w:val="24"/>
        </w:rPr>
        <w:t>otal; check product specific SDS for recommend</w:t>
      </w:r>
      <w:r>
        <w:rPr>
          <w:sz w:val="24"/>
          <w:szCs w:val="24"/>
        </w:rPr>
        <w:t>ed</w:t>
      </w:r>
      <w:r w:rsidR="00D97DC0">
        <w:rPr>
          <w:sz w:val="24"/>
          <w:szCs w:val="24"/>
        </w:rPr>
        <w:t xml:space="preserve"> amount</w:t>
      </w:r>
      <w:r w:rsidR="00AE60B2">
        <w:rPr>
          <w:sz w:val="24"/>
          <w:szCs w:val="24"/>
        </w:rPr>
        <w:t>)</w:t>
      </w:r>
      <w:r w:rsidR="000C3C01" w:rsidRPr="000C3C01">
        <w:rPr>
          <w:sz w:val="24"/>
          <w:szCs w:val="24"/>
        </w:rPr>
        <w:t>.</w:t>
      </w:r>
      <w:r w:rsidR="00CE727E">
        <w:rPr>
          <w:sz w:val="24"/>
          <w:szCs w:val="24"/>
        </w:rPr>
        <w:t xml:space="preserve"> Note: This step MUST be done by lab person</w:t>
      </w:r>
      <w:r w:rsidR="00F51477">
        <w:rPr>
          <w:sz w:val="24"/>
          <w:szCs w:val="24"/>
        </w:rPr>
        <w:t>ne</w:t>
      </w:r>
      <w:r w:rsidR="00CE727E">
        <w:rPr>
          <w:sz w:val="24"/>
          <w:szCs w:val="24"/>
        </w:rPr>
        <w:t>l experienced with hydrating picric acid, and lab manger/principal investigator must be informed prior to such procedure.</w:t>
      </w:r>
    </w:p>
    <w:p w14:paraId="59F47C74" w14:textId="36F67ED8" w:rsidR="00927A97" w:rsidRDefault="00927A97" w:rsidP="005355FB">
      <w:pPr>
        <w:shd w:val="clear" w:color="auto" w:fill="D9D9D9" w:themeFill="background1" w:themeFillShade="D9"/>
        <w:spacing w:before="80" w:after="80" w:line="240" w:lineRule="auto"/>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Spill Procedures</w:t>
      </w:r>
    </w:p>
    <w:p w14:paraId="6BBA0BF7" w14:textId="3B9DEBA9" w:rsidR="0074077D" w:rsidRPr="0074077D" w:rsidRDefault="0074077D" w:rsidP="00E2401B">
      <w:pPr>
        <w:pStyle w:val="ListParagraph"/>
        <w:numPr>
          <w:ilvl w:val="0"/>
          <w:numId w:val="18"/>
        </w:numPr>
        <w:spacing w:after="0" w:line="240" w:lineRule="auto"/>
        <w:rPr>
          <w:sz w:val="24"/>
          <w:szCs w:val="24"/>
        </w:rPr>
      </w:pPr>
      <w:r>
        <w:rPr>
          <w:sz w:val="24"/>
          <w:szCs w:val="24"/>
        </w:rPr>
        <w:t>S</w:t>
      </w:r>
      <w:r w:rsidRPr="0074077D">
        <w:rPr>
          <w:sz w:val="24"/>
          <w:szCs w:val="24"/>
        </w:rPr>
        <w:t>mall spill</w:t>
      </w:r>
      <w:r>
        <w:rPr>
          <w:sz w:val="24"/>
          <w:szCs w:val="24"/>
        </w:rPr>
        <w:t>s (&lt; 30 ml)</w:t>
      </w:r>
      <w:r w:rsidRPr="0074077D">
        <w:rPr>
          <w:sz w:val="24"/>
          <w:szCs w:val="24"/>
        </w:rPr>
        <w:t xml:space="preserve"> </w:t>
      </w:r>
      <w:r>
        <w:rPr>
          <w:sz w:val="24"/>
          <w:szCs w:val="24"/>
        </w:rPr>
        <w:t xml:space="preserve">within </w:t>
      </w:r>
      <w:r w:rsidR="00F51477">
        <w:rPr>
          <w:sz w:val="24"/>
          <w:szCs w:val="24"/>
        </w:rPr>
        <w:t>a</w:t>
      </w:r>
      <w:r w:rsidRPr="0074077D">
        <w:rPr>
          <w:sz w:val="24"/>
          <w:szCs w:val="24"/>
        </w:rPr>
        <w:t xml:space="preserve"> chemical fume hood can be cleaned by laboratory staff</w:t>
      </w:r>
      <w:r>
        <w:rPr>
          <w:sz w:val="24"/>
          <w:szCs w:val="24"/>
        </w:rPr>
        <w:t xml:space="preserve"> who is aware of the hazards of picric acid</w:t>
      </w:r>
      <w:r w:rsidRPr="0074077D">
        <w:rPr>
          <w:sz w:val="24"/>
          <w:szCs w:val="24"/>
        </w:rPr>
        <w:t xml:space="preserve"> </w:t>
      </w:r>
      <w:r w:rsidR="00F51477">
        <w:rPr>
          <w:sz w:val="24"/>
          <w:szCs w:val="24"/>
        </w:rPr>
        <w:t>and is</w:t>
      </w:r>
      <w:r>
        <w:rPr>
          <w:sz w:val="24"/>
          <w:szCs w:val="24"/>
        </w:rPr>
        <w:t xml:space="preserve"> equipped with required spill response material.</w:t>
      </w:r>
    </w:p>
    <w:p w14:paraId="6AB878BE" w14:textId="358B41FB" w:rsidR="004861CA" w:rsidRDefault="004861CA" w:rsidP="00E2401B">
      <w:pPr>
        <w:pStyle w:val="ListParagraph"/>
        <w:numPr>
          <w:ilvl w:val="1"/>
          <w:numId w:val="20"/>
        </w:numPr>
        <w:spacing w:after="0" w:line="240" w:lineRule="auto"/>
        <w:rPr>
          <w:sz w:val="24"/>
          <w:szCs w:val="24"/>
        </w:rPr>
      </w:pPr>
      <w:r>
        <w:rPr>
          <w:sz w:val="24"/>
          <w:szCs w:val="24"/>
        </w:rPr>
        <w:t>Eliminate ignition sources.</w:t>
      </w:r>
    </w:p>
    <w:p w14:paraId="2F2EB3D7" w14:textId="7C51D72B" w:rsidR="0074077D" w:rsidRPr="00E2401B" w:rsidRDefault="0074077D" w:rsidP="00E2401B">
      <w:pPr>
        <w:pStyle w:val="ListParagraph"/>
        <w:numPr>
          <w:ilvl w:val="1"/>
          <w:numId w:val="20"/>
        </w:numPr>
        <w:spacing w:after="0" w:line="240" w:lineRule="auto"/>
        <w:rPr>
          <w:sz w:val="24"/>
          <w:szCs w:val="24"/>
        </w:rPr>
      </w:pPr>
      <w:r w:rsidRPr="00E2401B">
        <w:rPr>
          <w:sz w:val="24"/>
          <w:szCs w:val="24"/>
        </w:rPr>
        <w:t xml:space="preserve">Do not allow spilled material to dry. </w:t>
      </w:r>
    </w:p>
    <w:p w14:paraId="2B1210EF" w14:textId="1C074217" w:rsidR="0074077D" w:rsidRPr="00E2401B" w:rsidRDefault="0074077D" w:rsidP="00E2401B">
      <w:pPr>
        <w:pStyle w:val="ListParagraph"/>
        <w:numPr>
          <w:ilvl w:val="1"/>
          <w:numId w:val="20"/>
        </w:numPr>
        <w:spacing w:after="0" w:line="240" w:lineRule="auto"/>
        <w:rPr>
          <w:sz w:val="24"/>
          <w:szCs w:val="24"/>
        </w:rPr>
      </w:pPr>
      <w:r w:rsidRPr="00E2401B">
        <w:rPr>
          <w:sz w:val="24"/>
          <w:szCs w:val="24"/>
        </w:rPr>
        <w:t>DO NOT dry sweep the material; always keep picric acid wet to reduce any explosion hazards.</w:t>
      </w:r>
    </w:p>
    <w:p w14:paraId="5B6A064E" w14:textId="73BE220C" w:rsidR="0074077D" w:rsidRPr="00E2401B" w:rsidRDefault="0074077D" w:rsidP="00E2401B">
      <w:pPr>
        <w:pStyle w:val="ListParagraph"/>
        <w:numPr>
          <w:ilvl w:val="1"/>
          <w:numId w:val="20"/>
        </w:numPr>
        <w:spacing w:after="0" w:line="240" w:lineRule="auto"/>
        <w:rPr>
          <w:sz w:val="24"/>
          <w:szCs w:val="24"/>
        </w:rPr>
      </w:pPr>
      <w:r w:rsidRPr="00E2401B">
        <w:rPr>
          <w:sz w:val="24"/>
          <w:szCs w:val="24"/>
        </w:rPr>
        <w:t>Damp spilled material with DI water or a 2% v/v aqueous solution of acetone without stirring to keep picric acid wet.</w:t>
      </w:r>
    </w:p>
    <w:p w14:paraId="1DECEA9C" w14:textId="76BA690B" w:rsidR="0074077D" w:rsidRPr="00E2401B" w:rsidRDefault="0074077D" w:rsidP="00E2401B">
      <w:pPr>
        <w:pStyle w:val="ListParagraph"/>
        <w:numPr>
          <w:ilvl w:val="1"/>
          <w:numId w:val="20"/>
        </w:numPr>
        <w:spacing w:after="0" w:line="240" w:lineRule="auto"/>
        <w:rPr>
          <w:sz w:val="24"/>
          <w:szCs w:val="24"/>
        </w:rPr>
      </w:pPr>
      <w:r w:rsidRPr="00E2401B">
        <w:rPr>
          <w:sz w:val="24"/>
          <w:szCs w:val="24"/>
        </w:rPr>
        <w:t xml:space="preserve">Use a spill response pad/paper towels </w:t>
      </w:r>
      <w:r w:rsidR="00CA687B">
        <w:rPr>
          <w:sz w:val="24"/>
          <w:szCs w:val="24"/>
        </w:rPr>
        <w:t>moistened</w:t>
      </w:r>
      <w:r w:rsidRPr="00E2401B">
        <w:rPr>
          <w:sz w:val="24"/>
          <w:szCs w:val="24"/>
        </w:rPr>
        <w:t xml:space="preserve"> with DI water to absorb spilled material.</w:t>
      </w:r>
    </w:p>
    <w:p w14:paraId="24F11B65" w14:textId="3FB1A9C3" w:rsidR="0074077D" w:rsidRPr="00E2401B" w:rsidRDefault="0074077D" w:rsidP="00E2401B">
      <w:pPr>
        <w:pStyle w:val="ListParagraph"/>
        <w:numPr>
          <w:ilvl w:val="1"/>
          <w:numId w:val="20"/>
        </w:numPr>
        <w:spacing w:after="0" w:line="240" w:lineRule="auto"/>
        <w:rPr>
          <w:sz w:val="24"/>
          <w:szCs w:val="24"/>
        </w:rPr>
      </w:pPr>
      <w:r w:rsidRPr="00E2401B">
        <w:rPr>
          <w:sz w:val="24"/>
          <w:szCs w:val="24"/>
        </w:rPr>
        <w:t xml:space="preserve">Place the spill cleanup material </w:t>
      </w:r>
      <w:r w:rsidR="00E2401B" w:rsidRPr="00E2401B">
        <w:rPr>
          <w:sz w:val="24"/>
          <w:szCs w:val="24"/>
        </w:rPr>
        <w:t>into</w:t>
      </w:r>
      <w:r w:rsidR="000603F8" w:rsidRPr="00E2401B">
        <w:rPr>
          <w:sz w:val="24"/>
          <w:szCs w:val="24"/>
        </w:rPr>
        <w:t xml:space="preserve"> sealable plastic bag,</w:t>
      </w:r>
      <w:r w:rsidRPr="00E2401B">
        <w:rPr>
          <w:sz w:val="24"/>
          <w:szCs w:val="24"/>
        </w:rPr>
        <w:t xml:space="preserve"> with </w:t>
      </w:r>
      <w:r w:rsidR="00CA687B">
        <w:rPr>
          <w:sz w:val="24"/>
          <w:szCs w:val="24"/>
        </w:rPr>
        <w:t xml:space="preserve">DI </w:t>
      </w:r>
      <w:r w:rsidRPr="00E2401B">
        <w:rPr>
          <w:sz w:val="24"/>
          <w:szCs w:val="24"/>
        </w:rPr>
        <w:t>water added.</w:t>
      </w:r>
    </w:p>
    <w:p w14:paraId="50B4B86C" w14:textId="425D294E" w:rsidR="0074077D" w:rsidRPr="00E2401B" w:rsidRDefault="00CA687B" w:rsidP="00E2401B">
      <w:pPr>
        <w:pStyle w:val="ListParagraph"/>
        <w:numPr>
          <w:ilvl w:val="1"/>
          <w:numId w:val="20"/>
        </w:numPr>
        <w:spacing w:after="0" w:line="240" w:lineRule="auto"/>
        <w:rPr>
          <w:sz w:val="24"/>
          <w:szCs w:val="24"/>
        </w:rPr>
      </w:pPr>
      <w:r>
        <w:rPr>
          <w:sz w:val="24"/>
          <w:szCs w:val="24"/>
        </w:rPr>
        <w:t>S</w:t>
      </w:r>
      <w:r w:rsidR="000603F8" w:rsidRPr="00E2401B">
        <w:rPr>
          <w:sz w:val="24"/>
          <w:szCs w:val="24"/>
        </w:rPr>
        <w:t xml:space="preserve">pray DI water </w:t>
      </w:r>
      <w:r>
        <w:rPr>
          <w:sz w:val="24"/>
          <w:szCs w:val="24"/>
        </w:rPr>
        <w:t>on</w:t>
      </w:r>
      <w:r w:rsidR="000603F8" w:rsidRPr="00E2401B">
        <w:rPr>
          <w:sz w:val="24"/>
          <w:szCs w:val="24"/>
        </w:rPr>
        <w:t>to the spilled area again and t</w:t>
      </w:r>
      <w:r w:rsidR="0074077D" w:rsidRPr="00E2401B">
        <w:rPr>
          <w:sz w:val="24"/>
          <w:szCs w:val="24"/>
        </w:rPr>
        <w:t>horoughly wash the spill site.</w:t>
      </w:r>
      <w:r w:rsidR="000603F8" w:rsidRPr="00E2401B">
        <w:rPr>
          <w:sz w:val="24"/>
          <w:szCs w:val="24"/>
        </w:rPr>
        <w:t xml:space="preserve"> Dispose </w:t>
      </w:r>
      <w:r>
        <w:rPr>
          <w:sz w:val="24"/>
          <w:szCs w:val="24"/>
        </w:rPr>
        <w:t xml:space="preserve">of </w:t>
      </w:r>
      <w:r w:rsidR="000603F8" w:rsidRPr="00E2401B">
        <w:rPr>
          <w:sz w:val="24"/>
          <w:szCs w:val="24"/>
        </w:rPr>
        <w:t xml:space="preserve">the </w:t>
      </w:r>
      <w:r>
        <w:rPr>
          <w:sz w:val="24"/>
          <w:szCs w:val="24"/>
        </w:rPr>
        <w:t xml:space="preserve">used </w:t>
      </w:r>
      <w:r w:rsidR="000603F8" w:rsidRPr="00E2401B">
        <w:rPr>
          <w:sz w:val="24"/>
          <w:szCs w:val="24"/>
        </w:rPr>
        <w:t xml:space="preserve">paper towels </w:t>
      </w:r>
      <w:r w:rsidR="00E2401B" w:rsidRPr="00E2401B">
        <w:rPr>
          <w:sz w:val="24"/>
          <w:szCs w:val="24"/>
        </w:rPr>
        <w:t>into</w:t>
      </w:r>
      <w:r w:rsidR="000603F8" w:rsidRPr="00E2401B">
        <w:rPr>
          <w:sz w:val="24"/>
          <w:szCs w:val="24"/>
        </w:rPr>
        <w:t xml:space="preserve"> a sealable plastic bag.</w:t>
      </w:r>
    </w:p>
    <w:p w14:paraId="58604889" w14:textId="69706BC4" w:rsidR="0074077D" w:rsidRPr="00E2401B" w:rsidRDefault="00CA687B" w:rsidP="00E2401B">
      <w:pPr>
        <w:pStyle w:val="ListParagraph"/>
        <w:numPr>
          <w:ilvl w:val="1"/>
          <w:numId w:val="20"/>
        </w:numPr>
        <w:spacing w:after="0" w:line="240" w:lineRule="auto"/>
        <w:rPr>
          <w:sz w:val="24"/>
          <w:szCs w:val="24"/>
        </w:rPr>
      </w:pPr>
      <w:r>
        <w:rPr>
          <w:sz w:val="24"/>
          <w:szCs w:val="24"/>
        </w:rPr>
        <w:t>Place the sealed</w:t>
      </w:r>
      <w:r w:rsidR="000603F8" w:rsidRPr="00E2401B">
        <w:rPr>
          <w:sz w:val="24"/>
          <w:szCs w:val="24"/>
        </w:rPr>
        <w:t xml:space="preserve"> plastic bags</w:t>
      </w:r>
      <w:r>
        <w:rPr>
          <w:sz w:val="24"/>
          <w:szCs w:val="24"/>
        </w:rPr>
        <w:t xml:space="preserve"> containing cleanup materials</w:t>
      </w:r>
      <w:r w:rsidR="000603F8" w:rsidRPr="00E2401B">
        <w:rPr>
          <w:sz w:val="24"/>
          <w:szCs w:val="24"/>
        </w:rPr>
        <w:t xml:space="preserve"> </w:t>
      </w:r>
      <w:r w:rsidR="00E2401B" w:rsidRPr="00E2401B">
        <w:rPr>
          <w:sz w:val="24"/>
          <w:szCs w:val="24"/>
        </w:rPr>
        <w:t>into</w:t>
      </w:r>
      <w:r w:rsidR="000603F8" w:rsidRPr="00E2401B">
        <w:rPr>
          <w:sz w:val="24"/>
          <w:szCs w:val="24"/>
        </w:rPr>
        <w:t xml:space="preserve"> a designated</w:t>
      </w:r>
      <w:r w:rsidR="0074077D" w:rsidRPr="00E2401B">
        <w:rPr>
          <w:sz w:val="24"/>
          <w:szCs w:val="24"/>
        </w:rPr>
        <w:t xml:space="preserve"> </w:t>
      </w:r>
      <w:r w:rsidR="000603F8" w:rsidRPr="00E2401B">
        <w:rPr>
          <w:sz w:val="24"/>
          <w:szCs w:val="24"/>
        </w:rPr>
        <w:t xml:space="preserve">solid </w:t>
      </w:r>
      <w:r>
        <w:rPr>
          <w:sz w:val="24"/>
          <w:szCs w:val="24"/>
        </w:rPr>
        <w:t xml:space="preserve">hazardous chemical </w:t>
      </w:r>
      <w:r w:rsidR="0074077D" w:rsidRPr="00E2401B">
        <w:rPr>
          <w:sz w:val="24"/>
          <w:szCs w:val="24"/>
        </w:rPr>
        <w:t xml:space="preserve">waste container </w:t>
      </w:r>
      <w:r w:rsidR="000603F8" w:rsidRPr="00E2401B">
        <w:rPr>
          <w:sz w:val="24"/>
          <w:szCs w:val="24"/>
        </w:rPr>
        <w:t>for picric acid waste.</w:t>
      </w:r>
    </w:p>
    <w:p w14:paraId="2BE9BBE9" w14:textId="18E32DD9" w:rsidR="000603F8" w:rsidRPr="00E2401B" w:rsidRDefault="000603F8" w:rsidP="00E2401B">
      <w:pPr>
        <w:pStyle w:val="ListParagraph"/>
        <w:numPr>
          <w:ilvl w:val="1"/>
          <w:numId w:val="20"/>
        </w:numPr>
        <w:spacing w:after="0" w:line="240" w:lineRule="auto"/>
        <w:rPr>
          <w:sz w:val="24"/>
          <w:szCs w:val="24"/>
        </w:rPr>
      </w:pPr>
      <w:r w:rsidRPr="00E2401B">
        <w:rPr>
          <w:sz w:val="24"/>
          <w:szCs w:val="24"/>
        </w:rPr>
        <w:t>Request chemical waste pickup immediately.</w:t>
      </w:r>
    </w:p>
    <w:p w14:paraId="199335C7" w14:textId="07DF98DE" w:rsidR="00927A97" w:rsidRPr="00A40408" w:rsidRDefault="00B34ADB" w:rsidP="00E2401B">
      <w:pPr>
        <w:pStyle w:val="ListParagraph"/>
        <w:numPr>
          <w:ilvl w:val="0"/>
          <w:numId w:val="19"/>
        </w:numPr>
        <w:spacing w:after="0" w:line="240" w:lineRule="auto"/>
        <w:rPr>
          <w:sz w:val="24"/>
          <w:szCs w:val="24"/>
        </w:rPr>
      </w:pPr>
      <w:r w:rsidRPr="00A40408">
        <w:rPr>
          <w:sz w:val="24"/>
          <w:szCs w:val="24"/>
        </w:rPr>
        <w:t>For</w:t>
      </w:r>
      <w:r w:rsidR="003E1777">
        <w:rPr>
          <w:sz w:val="24"/>
          <w:szCs w:val="24"/>
        </w:rPr>
        <w:t xml:space="preserve"> any amount of spill outside the chemical fume hood, </w:t>
      </w:r>
      <w:r w:rsidRPr="00A40408">
        <w:rPr>
          <w:sz w:val="24"/>
          <w:szCs w:val="24"/>
        </w:rPr>
        <w:t>larger spills or if clean‐up assistance is needed,</w:t>
      </w:r>
      <w:r w:rsidR="00A40408" w:rsidRPr="00A40408">
        <w:rPr>
          <w:sz w:val="24"/>
          <w:szCs w:val="24"/>
        </w:rPr>
        <w:t xml:space="preserve"> cease all </w:t>
      </w:r>
      <w:r w:rsidR="00E2401B" w:rsidRPr="00A40408">
        <w:rPr>
          <w:sz w:val="24"/>
          <w:szCs w:val="24"/>
        </w:rPr>
        <w:t>activities,</w:t>
      </w:r>
      <w:r w:rsidR="00A40408" w:rsidRPr="00A40408">
        <w:rPr>
          <w:sz w:val="24"/>
          <w:szCs w:val="24"/>
        </w:rPr>
        <w:t xml:space="preserve"> </w:t>
      </w:r>
      <w:r w:rsidR="00F51477">
        <w:rPr>
          <w:sz w:val="24"/>
          <w:szCs w:val="24"/>
        </w:rPr>
        <w:t xml:space="preserve">eliminate sources of ignition, </w:t>
      </w:r>
      <w:r w:rsidR="00A40408" w:rsidRPr="00A40408">
        <w:rPr>
          <w:sz w:val="24"/>
          <w:szCs w:val="24"/>
        </w:rPr>
        <w:t>and immediately evacuate</w:t>
      </w:r>
      <w:r w:rsidR="00CA687B">
        <w:rPr>
          <w:sz w:val="24"/>
          <w:szCs w:val="24"/>
        </w:rPr>
        <w:t xml:space="preserve"> all personnel from</w:t>
      </w:r>
      <w:r w:rsidR="00A40408" w:rsidRPr="00A40408">
        <w:rPr>
          <w:sz w:val="24"/>
          <w:szCs w:val="24"/>
        </w:rPr>
        <w:t xml:space="preserve"> the affected area. </w:t>
      </w:r>
      <w:r w:rsidRPr="00A40408">
        <w:rPr>
          <w:sz w:val="24"/>
          <w:szCs w:val="24"/>
        </w:rPr>
        <w:t xml:space="preserve"> </w:t>
      </w:r>
      <w:r w:rsidR="002D555A">
        <w:rPr>
          <w:sz w:val="24"/>
          <w:szCs w:val="24"/>
        </w:rPr>
        <w:t>C</w:t>
      </w:r>
      <w:r w:rsidRPr="00A40408">
        <w:rPr>
          <w:sz w:val="24"/>
          <w:szCs w:val="24"/>
        </w:rPr>
        <w:t>all OEHS (7-1200)</w:t>
      </w:r>
      <w:r w:rsidR="002D555A">
        <w:rPr>
          <w:sz w:val="24"/>
          <w:szCs w:val="24"/>
        </w:rPr>
        <w:t xml:space="preserve"> </w:t>
      </w:r>
      <w:r w:rsidR="00E35BD0">
        <w:rPr>
          <w:sz w:val="24"/>
          <w:szCs w:val="24"/>
        </w:rPr>
        <w:t xml:space="preserve">immediately </w:t>
      </w:r>
      <w:r w:rsidR="002D555A">
        <w:rPr>
          <w:sz w:val="24"/>
          <w:szCs w:val="24"/>
        </w:rPr>
        <w:t>for spill response</w:t>
      </w:r>
      <w:r w:rsidRPr="00A40408">
        <w:rPr>
          <w:sz w:val="24"/>
          <w:szCs w:val="24"/>
        </w:rPr>
        <w:t>.</w:t>
      </w:r>
    </w:p>
    <w:p w14:paraId="0A21EAB2" w14:textId="77777777" w:rsidR="00CA687B" w:rsidRDefault="00CA687B">
      <w:p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br w:type="page"/>
      </w:r>
    </w:p>
    <w:p w14:paraId="7790FD7E" w14:textId="5E62AA08" w:rsidR="005355FB" w:rsidRPr="005355FB" w:rsidRDefault="005355FB" w:rsidP="005355FB">
      <w:pPr>
        <w:shd w:val="clear" w:color="auto" w:fill="D9D9D9" w:themeFill="background1" w:themeFillShade="D9"/>
        <w:spacing w:before="80" w:after="80" w:line="240" w:lineRule="auto"/>
        <w:jc w:val="both"/>
        <w:rPr>
          <w:rFonts w:cstheme="minorHAnsi"/>
          <w:b/>
          <w:sz w:val="24"/>
          <w:szCs w:val="24"/>
        </w:rPr>
      </w:pPr>
      <w:r>
        <w:rPr>
          <w:rStyle w:val="Heading1Char"/>
          <w:rFonts w:asciiTheme="minorHAnsi" w:hAnsiTheme="minorHAnsi" w:cstheme="minorHAnsi"/>
          <w:color w:val="auto"/>
          <w:sz w:val="24"/>
          <w:szCs w:val="24"/>
        </w:rPr>
        <w:lastRenderedPageBreak/>
        <w:t>Disposal</w:t>
      </w:r>
    </w:p>
    <w:p w14:paraId="13B68BBD" w14:textId="0171468B" w:rsidR="00F07E9D" w:rsidRDefault="00F07E9D" w:rsidP="006447D1">
      <w:pPr>
        <w:pStyle w:val="ListParagraph"/>
        <w:numPr>
          <w:ilvl w:val="0"/>
          <w:numId w:val="6"/>
        </w:numPr>
        <w:spacing w:after="0" w:line="240" w:lineRule="auto"/>
        <w:rPr>
          <w:rFonts w:cstheme="minorHAnsi"/>
          <w:sz w:val="24"/>
          <w:szCs w:val="24"/>
        </w:rPr>
      </w:pPr>
      <w:r w:rsidRPr="00F07E9D">
        <w:rPr>
          <w:rFonts w:cstheme="minorHAnsi"/>
          <w:sz w:val="24"/>
          <w:szCs w:val="24"/>
        </w:rPr>
        <w:t xml:space="preserve">DO NOT dispose picric acid waste via </w:t>
      </w:r>
      <w:r w:rsidR="00CA687B">
        <w:rPr>
          <w:rFonts w:cstheme="minorHAnsi"/>
          <w:sz w:val="24"/>
          <w:szCs w:val="24"/>
        </w:rPr>
        <w:t xml:space="preserve">a </w:t>
      </w:r>
      <w:r w:rsidRPr="00F07E9D">
        <w:rPr>
          <w:rFonts w:cstheme="minorHAnsi"/>
          <w:sz w:val="24"/>
          <w:szCs w:val="24"/>
        </w:rPr>
        <w:t>sink</w:t>
      </w:r>
      <w:r w:rsidR="00CA687B">
        <w:rPr>
          <w:rFonts w:cstheme="minorHAnsi"/>
          <w:sz w:val="24"/>
          <w:szCs w:val="24"/>
        </w:rPr>
        <w:t xml:space="preserve"> or other drain</w:t>
      </w:r>
      <w:r w:rsidRPr="00F07E9D">
        <w:rPr>
          <w:rFonts w:cstheme="minorHAnsi"/>
          <w:sz w:val="24"/>
          <w:szCs w:val="24"/>
        </w:rPr>
        <w:t xml:space="preserve">. </w:t>
      </w:r>
      <w:r w:rsidR="00CE727E">
        <w:rPr>
          <w:rFonts w:cstheme="minorHAnsi"/>
          <w:sz w:val="24"/>
          <w:szCs w:val="24"/>
        </w:rPr>
        <w:t xml:space="preserve">Picric acid will form unstable explosive picrates in contact with metal plumbing. </w:t>
      </w:r>
      <w:r w:rsidRPr="00F07E9D">
        <w:rPr>
          <w:rFonts w:cstheme="minorHAnsi"/>
          <w:sz w:val="24"/>
          <w:szCs w:val="24"/>
        </w:rPr>
        <w:t>All picric acid waste MUST be collected as hazardous chemical waste.</w:t>
      </w:r>
    </w:p>
    <w:p w14:paraId="72B3531F" w14:textId="02E8BCD7" w:rsidR="00F07E9D" w:rsidRDefault="00F07E9D" w:rsidP="006447D1">
      <w:pPr>
        <w:pStyle w:val="ListParagraph"/>
        <w:numPr>
          <w:ilvl w:val="0"/>
          <w:numId w:val="6"/>
        </w:numPr>
        <w:spacing w:after="0" w:line="240" w:lineRule="auto"/>
        <w:rPr>
          <w:rFonts w:cstheme="minorHAnsi"/>
          <w:sz w:val="24"/>
          <w:szCs w:val="24"/>
        </w:rPr>
      </w:pPr>
      <w:r w:rsidRPr="00F07E9D">
        <w:rPr>
          <w:rFonts w:cstheme="minorHAnsi"/>
          <w:sz w:val="24"/>
          <w:szCs w:val="24"/>
        </w:rPr>
        <w:t xml:space="preserve">Collect waste in a </w:t>
      </w:r>
      <w:r w:rsidR="00CE727E">
        <w:rPr>
          <w:rFonts w:cstheme="minorHAnsi"/>
          <w:sz w:val="24"/>
          <w:szCs w:val="24"/>
        </w:rPr>
        <w:t xml:space="preserve">dedicated </w:t>
      </w:r>
      <w:r w:rsidRPr="00F07E9D">
        <w:rPr>
          <w:rFonts w:cstheme="minorHAnsi"/>
          <w:sz w:val="24"/>
          <w:szCs w:val="24"/>
        </w:rPr>
        <w:t xml:space="preserve">small </w:t>
      </w:r>
      <w:r>
        <w:rPr>
          <w:rFonts w:cstheme="minorHAnsi"/>
          <w:sz w:val="24"/>
          <w:szCs w:val="24"/>
        </w:rPr>
        <w:t xml:space="preserve">glass or plastic </w:t>
      </w:r>
      <w:r w:rsidRPr="00F07E9D">
        <w:rPr>
          <w:rFonts w:cstheme="minorHAnsi"/>
          <w:sz w:val="24"/>
          <w:szCs w:val="24"/>
        </w:rPr>
        <w:t>bottle (instead of 5-gallon carboy)</w:t>
      </w:r>
      <w:r w:rsidR="0016536C">
        <w:rPr>
          <w:rFonts w:cstheme="minorHAnsi"/>
          <w:sz w:val="24"/>
          <w:szCs w:val="24"/>
        </w:rPr>
        <w:t xml:space="preserve"> with excess water to ensure it is sufficiently moist until disposal</w:t>
      </w:r>
      <w:r>
        <w:rPr>
          <w:rFonts w:cstheme="minorHAnsi"/>
          <w:sz w:val="24"/>
          <w:szCs w:val="24"/>
        </w:rPr>
        <w:t>.</w:t>
      </w:r>
      <w:r w:rsidRPr="00F07E9D">
        <w:rPr>
          <w:rFonts w:cstheme="minorHAnsi"/>
          <w:sz w:val="24"/>
          <w:szCs w:val="24"/>
        </w:rPr>
        <w:t xml:space="preserve"> </w:t>
      </w:r>
      <w:r>
        <w:rPr>
          <w:rFonts w:cstheme="minorHAnsi"/>
          <w:sz w:val="24"/>
          <w:szCs w:val="24"/>
        </w:rPr>
        <w:t>R</w:t>
      </w:r>
      <w:r w:rsidRPr="00F07E9D">
        <w:rPr>
          <w:rFonts w:cstheme="minorHAnsi"/>
          <w:sz w:val="24"/>
          <w:szCs w:val="24"/>
        </w:rPr>
        <w:t>equest disposal within 6 months of accumulating the waste.</w:t>
      </w:r>
    </w:p>
    <w:p w14:paraId="61343BD5" w14:textId="3F03CD16" w:rsidR="00D543F4" w:rsidRPr="0074179B" w:rsidRDefault="0074179B" w:rsidP="006447D1">
      <w:pPr>
        <w:pStyle w:val="ListParagraph"/>
        <w:numPr>
          <w:ilvl w:val="0"/>
          <w:numId w:val="6"/>
        </w:numPr>
        <w:spacing w:after="0" w:line="240" w:lineRule="auto"/>
        <w:rPr>
          <w:rFonts w:cstheme="minorHAnsi"/>
          <w:sz w:val="24"/>
          <w:szCs w:val="24"/>
        </w:rPr>
      </w:pPr>
      <w:r w:rsidRPr="0074179B">
        <w:rPr>
          <w:rFonts w:cstheme="minorHAnsi"/>
          <w:sz w:val="24"/>
          <w:szCs w:val="24"/>
        </w:rPr>
        <w:t xml:space="preserve">Collect picric acid </w:t>
      </w:r>
      <w:r w:rsidR="00F07E9D">
        <w:rPr>
          <w:rFonts w:cstheme="minorHAnsi"/>
          <w:sz w:val="24"/>
          <w:szCs w:val="24"/>
        </w:rPr>
        <w:t>contaminated</w:t>
      </w:r>
      <w:r w:rsidRPr="0074179B">
        <w:rPr>
          <w:rFonts w:cstheme="minorHAnsi"/>
          <w:sz w:val="24"/>
          <w:szCs w:val="24"/>
        </w:rPr>
        <w:t xml:space="preserve"> </w:t>
      </w:r>
      <w:r w:rsidR="00F07E9D">
        <w:rPr>
          <w:rFonts w:cstheme="minorHAnsi"/>
          <w:sz w:val="24"/>
          <w:szCs w:val="24"/>
        </w:rPr>
        <w:t xml:space="preserve">solid </w:t>
      </w:r>
      <w:r w:rsidRPr="0074179B">
        <w:rPr>
          <w:rFonts w:cstheme="minorHAnsi"/>
          <w:sz w:val="24"/>
          <w:szCs w:val="24"/>
        </w:rPr>
        <w:t xml:space="preserve">waste in </w:t>
      </w:r>
      <w:r w:rsidR="00F07E9D">
        <w:rPr>
          <w:rFonts w:cstheme="minorHAnsi"/>
          <w:sz w:val="24"/>
          <w:szCs w:val="24"/>
        </w:rPr>
        <w:t xml:space="preserve">sealable </w:t>
      </w:r>
      <w:r w:rsidRPr="0074179B">
        <w:rPr>
          <w:rFonts w:cstheme="minorHAnsi"/>
          <w:sz w:val="24"/>
          <w:szCs w:val="24"/>
        </w:rPr>
        <w:t xml:space="preserve">plastic </w:t>
      </w:r>
      <w:r w:rsidR="00F07E9D">
        <w:rPr>
          <w:rFonts w:cstheme="minorHAnsi"/>
          <w:sz w:val="24"/>
          <w:szCs w:val="24"/>
        </w:rPr>
        <w:t>bag</w:t>
      </w:r>
      <w:r w:rsidR="0018554D">
        <w:rPr>
          <w:rFonts w:cstheme="minorHAnsi"/>
          <w:sz w:val="24"/>
          <w:szCs w:val="24"/>
        </w:rPr>
        <w:t xml:space="preserve">, </w:t>
      </w:r>
      <w:r w:rsidR="00C96C30">
        <w:rPr>
          <w:rFonts w:cstheme="minorHAnsi"/>
          <w:sz w:val="24"/>
          <w:szCs w:val="24"/>
        </w:rPr>
        <w:t>moistened</w:t>
      </w:r>
      <w:r w:rsidR="0018554D">
        <w:rPr>
          <w:rFonts w:cstheme="minorHAnsi"/>
          <w:sz w:val="24"/>
          <w:szCs w:val="24"/>
        </w:rPr>
        <w:t xml:space="preserve"> with </w:t>
      </w:r>
      <w:r w:rsidR="00C96C30">
        <w:rPr>
          <w:rFonts w:cstheme="minorHAnsi"/>
          <w:sz w:val="24"/>
          <w:szCs w:val="24"/>
        </w:rPr>
        <w:t xml:space="preserve">DI </w:t>
      </w:r>
      <w:r w:rsidR="0018554D">
        <w:rPr>
          <w:rFonts w:cstheme="minorHAnsi"/>
          <w:sz w:val="24"/>
          <w:szCs w:val="24"/>
        </w:rPr>
        <w:t>water,</w:t>
      </w:r>
      <w:r w:rsidR="00F07E9D">
        <w:rPr>
          <w:rFonts w:cstheme="minorHAnsi"/>
          <w:sz w:val="24"/>
          <w:szCs w:val="24"/>
        </w:rPr>
        <w:t xml:space="preserve"> which is then placed in a plastic waste pail</w:t>
      </w:r>
      <w:r w:rsidRPr="0074179B">
        <w:rPr>
          <w:rFonts w:cstheme="minorHAnsi"/>
          <w:sz w:val="24"/>
          <w:szCs w:val="24"/>
        </w:rPr>
        <w:t xml:space="preserve"> for disposal by </w:t>
      </w:r>
      <w:r w:rsidR="00144C1C">
        <w:rPr>
          <w:rFonts w:cstheme="minorHAnsi"/>
          <w:sz w:val="24"/>
          <w:szCs w:val="24"/>
        </w:rPr>
        <w:t>OEHS</w:t>
      </w:r>
      <w:r w:rsidRPr="0074179B">
        <w:rPr>
          <w:rFonts w:cstheme="minorHAnsi"/>
          <w:sz w:val="24"/>
          <w:szCs w:val="24"/>
        </w:rPr>
        <w:t>.</w:t>
      </w:r>
      <w:r w:rsidR="00F07E9D">
        <w:rPr>
          <w:rFonts w:cstheme="minorHAnsi"/>
          <w:sz w:val="24"/>
          <w:szCs w:val="24"/>
        </w:rPr>
        <w:t xml:space="preserve"> This is to ensure</w:t>
      </w:r>
      <w:r w:rsidR="00DE5A90" w:rsidRPr="00DE5A90">
        <w:rPr>
          <w:rFonts w:cstheme="minorHAnsi"/>
          <w:sz w:val="24"/>
          <w:szCs w:val="24"/>
        </w:rPr>
        <w:t xml:space="preserve"> the material </w:t>
      </w:r>
      <w:r w:rsidR="00F07E9D">
        <w:rPr>
          <w:rFonts w:cstheme="minorHAnsi"/>
          <w:sz w:val="24"/>
          <w:szCs w:val="24"/>
        </w:rPr>
        <w:t>remains</w:t>
      </w:r>
      <w:r w:rsidR="00DE5A90" w:rsidRPr="00DE5A90">
        <w:rPr>
          <w:rFonts w:cstheme="minorHAnsi"/>
          <w:sz w:val="24"/>
          <w:szCs w:val="24"/>
        </w:rPr>
        <w:t xml:space="preserve"> wetted</w:t>
      </w:r>
      <w:r w:rsidR="00F07E9D">
        <w:rPr>
          <w:rFonts w:cstheme="minorHAnsi"/>
          <w:sz w:val="24"/>
          <w:szCs w:val="24"/>
        </w:rPr>
        <w:t xml:space="preserve"> until it can be disposed</w:t>
      </w:r>
      <w:r w:rsidR="00DE5A90" w:rsidRPr="00DE5A90">
        <w:rPr>
          <w:rFonts w:cstheme="minorHAnsi"/>
          <w:sz w:val="24"/>
          <w:szCs w:val="24"/>
        </w:rPr>
        <w:t>.</w:t>
      </w:r>
      <w:r w:rsidR="0018554D">
        <w:rPr>
          <w:rFonts w:cstheme="minorHAnsi"/>
          <w:sz w:val="24"/>
          <w:szCs w:val="24"/>
        </w:rPr>
        <w:t xml:space="preserve"> Empty containers of picric acid should also be disposed of as hazardous waste.</w:t>
      </w:r>
    </w:p>
    <w:p w14:paraId="23A8070A" w14:textId="27A73A04" w:rsidR="005355FB" w:rsidRPr="005355FB" w:rsidRDefault="005355FB" w:rsidP="005355FB">
      <w:pPr>
        <w:shd w:val="clear" w:color="auto" w:fill="D9D9D9" w:themeFill="background1" w:themeFillShade="D9"/>
        <w:spacing w:before="80" w:after="80" w:line="240" w:lineRule="auto"/>
        <w:jc w:val="both"/>
        <w:rPr>
          <w:rFonts w:cstheme="minorHAnsi"/>
          <w:b/>
          <w:sz w:val="24"/>
          <w:szCs w:val="24"/>
        </w:rPr>
      </w:pPr>
      <w:r>
        <w:rPr>
          <w:rStyle w:val="Heading1Char"/>
          <w:rFonts w:asciiTheme="minorHAnsi" w:hAnsiTheme="minorHAnsi" w:cstheme="minorHAnsi"/>
          <w:color w:val="auto"/>
          <w:sz w:val="24"/>
          <w:szCs w:val="24"/>
        </w:rPr>
        <w:t>Emergency Response &amp; Contacts</w:t>
      </w:r>
    </w:p>
    <w:p w14:paraId="2B0C1FE3" w14:textId="77777777" w:rsidR="005355FB" w:rsidRPr="005D56F5" w:rsidRDefault="005355FB" w:rsidP="005355FB">
      <w:pPr>
        <w:pStyle w:val="ListParagraph"/>
        <w:numPr>
          <w:ilvl w:val="0"/>
          <w:numId w:val="4"/>
        </w:numPr>
        <w:spacing w:after="0" w:line="240" w:lineRule="auto"/>
        <w:ind w:left="270" w:hanging="270"/>
        <w:rPr>
          <w:sz w:val="24"/>
          <w:szCs w:val="24"/>
        </w:rPr>
      </w:pPr>
      <w:r w:rsidRPr="005D56F5">
        <w:rPr>
          <w:b/>
          <w:sz w:val="24"/>
          <w:szCs w:val="24"/>
        </w:rPr>
        <w:t xml:space="preserve">WSU Public Safety: </w:t>
      </w:r>
      <w:r>
        <w:rPr>
          <w:b/>
          <w:sz w:val="24"/>
          <w:szCs w:val="24"/>
        </w:rPr>
        <w:t>(</w:t>
      </w:r>
      <w:r w:rsidRPr="005D56F5">
        <w:rPr>
          <w:sz w:val="24"/>
          <w:szCs w:val="24"/>
        </w:rPr>
        <w:t>313</w:t>
      </w:r>
      <w:r>
        <w:rPr>
          <w:sz w:val="24"/>
          <w:szCs w:val="24"/>
        </w:rPr>
        <w:t xml:space="preserve">) </w:t>
      </w:r>
      <w:r w:rsidRPr="005D56F5">
        <w:rPr>
          <w:sz w:val="24"/>
          <w:szCs w:val="24"/>
        </w:rPr>
        <w:t>577-2222, emergency transportation</w:t>
      </w:r>
    </w:p>
    <w:p w14:paraId="0B301B8A" w14:textId="77777777" w:rsidR="005355FB" w:rsidRPr="00E53488" w:rsidRDefault="005355FB" w:rsidP="005355FB">
      <w:pPr>
        <w:pStyle w:val="ListParagraph"/>
        <w:numPr>
          <w:ilvl w:val="0"/>
          <w:numId w:val="4"/>
        </w:numPr>
        <w:spacing w:after="0" w:line="240" w:lineRule="auto"/>
        <w:rPr>
          <w:b/>
          <w:sz w:val="24"/>
          <w:szCs w:val="24"/>
        </w:rPr>
      </w:pPr>
      <w:r w:rsidRPr="00E53488">
        <w:rPr>
          <w:b/>
          <w:sz w:val="24"/>
          <w:szCs w:val="24"/>
        </w:rPr>
        <w:t>Henry Ford Occupational Health – Harbortown</w:t>
      </w:r>
    </w:p>
    <w:p w14:paraId="4F9D28F7" w14:textId="77777777" w:rsidR="005355FB" w:rsidRPr="00E53488" w:rsidRDefault="005355FB" w:rsidP="005355FB">
      <w:pPr>
        <w:pStyle w:val="ListParagraph"/>
        <w:spacing w:after="0" w:line="240" w:lineRule="auto"/>
        <w:ind w:left="360"/>
        <w:rPr>
          <w:sz w:val="24"/>
          <w:szCs w:val="24"/>
        </w:rPr>
      </w:pPr>
      <w:r w:rsidRPr="00E53488">
        <w:rPr>
          <w:sz w:val="24"/>
          <w:szCs w:val="24"/>
        </w:rPr>
        <w:t>3300 East Jefferson, Suite 100</w:t>
      </w:r>
    </w:p>
    <w:p w14:paraId="5B396F89" w14:textId="77777777" w:rsidR="005355FB" w:rsidRPr="00E53488" w:rsidRDefault="005355FB" w:rsidP="005355FB">
      <w:pPr>
        <w:pStyle w:val="ListParagraph"/>
        <w:spacing w:after="0" w:line="240" w:lineRule="auto"/>
        <w:ind w:left="360"/>
        <w:rPr>
          <w:sz w:val="24"/>
          <w:szCs w:val="24"/>
        </w:rPr>
      </w:pPr>
      <w:r w:rsidRPr="00E53488">
        <w:rPr>
          <w:sz w:val="24"/>
          <w:szCs w:val="24"/>
        </w:rPr>
        <w:t>Detroit MI 48207</w:t>
      </w:r>
    </w:p>
    <w:p w14:paraId="4578B283" w14:textId="77777777" w:rsidR="005355FB" w:rsidRPr="00E53488" w:rsidRDefault="005355FB" w:rsidP="005355FB">
      <w:pPr>
        <w:pStyle w:val="ListParagraph"/>
        <w:spacing w:after="0" w:line="240" w:lineRule="auto"/>
        <w:ind w:left="360"/>
        <w:rPr>
          <w:sz w:val="24"/>
          <w:szCs w:val="24"/>
        </w:rPr>
      </w:pPr>
      <w:r w:rsidRPr="00E53488">
        <w:rPr>
          <w:sz w:val="24"/>
          <w:szCs w:val="24"/>
        </w:rPr>
        <w:t>(313) 656-1618</w:t>
      </w:r>
    </w:p>
    <w:p w14:paraId="426519F7" w14:textId="77777777" w:rsidR="005355FB" w:rsidRPr="00E53488" w:rsidRDefault="005355FB" w:rsidP="005355FB">
      <w:pPr>
        <w:pStyle w:val="ListParagraph"/>
        <w:spacing w:after="0" w:line="240" w:lineRule="auto"/>
        <w:ind w:left="360"/>
        <w:rPr>
          <w:sz w:val="24"/>
          <w:szCs w:val="24"/>
        </w:rPr>
      </w:pPr>
      <w:r w:rsidRPr="00E53488">
        <w:rPr>
          <w:sz w:val="24"/>
          <w:szCs w:val="24"/>
        </w:rPr>
        <w:t>Monday – Friday 8:00 AM to 6:30 PM</w:t>
      </w:r>
    </w:p>
    <w:p w14:paraId="3BA1F26C" w14:textId="77777777" w:rsidR="005355FB" w:rsidRPr="00E53488" w:rsidRDefault="005355FB" w:rsidP="005355FB">
      <w:pPr>
        <w:pStyle w:val="ListParagraph"/>
        <w:numPr>
          <w:ilvl w:val="0"/>
          <w:numId w:val="4"/>
        </w:numPr>
        <w:spacing w:after="0" w:line="240" w:lineRule="auto"/>
        <w:ind w:left="270" w:hanging="270"/>
        <w:rPr>
          <w:b/>
          <w:sz w:val="24"/>
          <w:szCs w:val="24"/>
        </w:rPr>
      </w:pPr>
      <w:r>
        <w:rPr>
          <w:b/>
          <w:sz w:val="24"/>
          <w:szCs w:val="24"/>
        </w:rPr>
        <w:t>For help</w:t>
      </w:r>
      <w:r w:rsidRPr="00E53488">
        <w:rPr>
          <w:b/>
          <w:sz w:val="24"/>
          <w:szCs w:val="24"/>
        </w:rPr>
        <w:t xml:space="preserve"> outside of health clinic hours</w:t>
      </w:r>
    </w:p>
    <w:p w14:paraId="4EDDDCF8" w14:textId="77777777" w:rsidR="005355FB" w:rsidRDefault="005355FB" w:rsidP="005355FB">
      <w:pPr>
        <w:pStyle w:val="ListParagraph"/>
        <w:spacing w:after="0" w:line="240" w:lineRule="auto"/>
        <w:ind w:left="270"/>
        <w:rPr>
          <w:sz w:val="24"/>
          <w:szCs w:val="24"/>
        </w:rPr>
      </w:pPr>
      <w:r w:rsidRPr="005D56F5">
        <w:rPr>
          <w:b/>
          <w:sz w:val="24"/>
          <w:szCs w:val="24"/>
        </w:rPr>
        <w:t xml:space="preserve">Detroit Receiving Hospital </w:t>
      </w:r>
      <w:r>
        <w:rPr>
          <w:b/>
          <w:sz w:val="24"/>
          <w:szCs w:val="24"/>
        </w:rPr>
        <w:t xml:space="preserve">– </w:t>
      </w:r>
      <w:r w:rsidRPr="005D56F5">
        <w:rPr>
          <w:b/>
          <w:sz w:val="24"/>
          <w:szCs w:val="24"/>
        </w:rPr>
        <w:t>E</w:t>
      </w:r>
      <w:r>
        <w:rPr>
          <w:b/>
          <w:sz w:val="24"/>
          <w:szCs w:val="24"/>
        </w:rPr>
        <w:t xml:space="preserve">mergency </w:t>
      </w:r>
      <w:r w:rsidRPr="005D56F5">
        <w:rPr>
          <w:b/>
          <w:sz w:val="24"/>
          <w:szCs w:val="24"/>
        </w:rPr>
        <w:t>R</w:t>
      </w:r>
      <w:r>
        <w:rPr>
          <w:b/>
          <w:sz w:val="24"/>
          <w:szCs w:val="24"/>
        </w:rPr>
        <w:t>oom</w:t>
      </w:r>
      <w:r w:rsidRPr="005D56F5">
        <w:rPr>
          <w:b/>
          <w:sz w:val="24"/>
          <w:szCs w:val="24"/>
        </w:rPr>
        <w:t>:</w:t>
      </w:r>
      <w:r w:rsidRPr="005D56F5">
        <w:rPr>
          <w:sz w:val="24"/>
          <w:szCs w:val="24"/>
        </w:rPr>
        <w:t xml:space="preserve"> </w:t>
      </w:r>
      <w:r>
        <w:rPr>
          <w:sz w:val="24"/>
          <w:szCs w:val="24"/>
        </w:rPr>
        <w:t>(</w:t>
      </w:r>
      <w:r w:rsidRPr="005D56F5">
        <w:rPr>
          <w:sz w:val="24"/>
          <w:szCs w:val="24"/>
        </w:rPr>
        <w:t>313</w:t>
      </w:r>
      <w:r>
        <w:rPr>
          <w:sz w:val="24"/>
          <w:szCs w:val="24"/>
        </w:rPr>
        <w:t xml:space="preserve">) </w:t>
      </w:r>
      <w:r w:rsidRPr="005D56F5">
        <w:rPr>
          <w:sz w:val="24"/>
          <w:szCs w:val="24"/>
        </w:rPr>
        <w:t>745-3</w:t>
      </w:r>
      <w:r>
        <w:rPr>
          <w:sz w:val="24"/>
          <w:szCs w:val="24"/>
        </w:rPr>
        <w:t>000</w:t>
      </w:r>
    </w:p>
    <w:p w14:paraId="3072F7BA" w14:textId="77777777" w:rsidR="005355FB" w:rsidRDefault="005355FB" w:rsidP="005355FB">
      <w:pPr>
        <w:pStyle w:val="ListParagraph"/>
        <w:spacing w:after="0" w:line="240" w:lineRule="auto"/>
        <w:ind w:left="270"/>
        <w:rPr>
          <w:b/>
          <w:sz w:val="24"/>
          <w:szCs w:val="24"/>
        </w:rPr>
      </w:pPr>
      <w:r>
        <w:rPr>
          <w:b/>
          <w:sz w:val="24"/>
          <w:szCs w:val="24"/>
        </w:rPr>
        <w:t>OR</w:t>
      </w:r>
    </w:p>
    <w:p w14:paraId="4596680C" w14:textId="77777777" w:rsidR="005355FB" w:rsidRPr="00E53488" w:rsidRDefault="005355FB" w:rsidP="005355FB">
      <w:pPr>
        <w:pStyle w:val="ListParagraph"/>
        <w:spacing w:after="0" w:line="240" w:lineRule="auto"/>
        <w:ind w:left="270"/>
        <w:rPr>
          <w:sz w:val="24"/>
          <w:szCs w:val="24"/>
        </w:rPr>
      </w:pPr>
      <w:r w:rsidRPr="00E53488">
        <w:rPr>
          <w:b/>
          <w:sz w:val="24"/>
          <w:szCs w:val="24"/>
        </w:rPr>
        <w:t>Henry Ford Hospital – Emergency Room</w:t>
      </w:r>
      <w:r>
        <w:rPr>
          <w:sz w:val="24"/>
          <w:szCs w:val="24"/>
        </w:rPr>
        <w:t xml:space="preserve">: </w:t>
      </w:r>
      <w:r w:rsidRPr="00E53488">
        <w:rPr>
          <w:sz w:val="24"/>
          <w:szCs w:val="24"/>
        </w:rPr>
        <w:t>(313) 916-8742</w:t>
      </w:r>
    </w:p>
    <w:p w14:paraId="36226728" w14:textId="77777777" w:rsidR="005355FB" w:rsidRPr="005D56F5" w:rsidRDefault="005355FB" w:rsidP="005355FB">
      <w:pPr>
        <w:pStyle w:val="ListParagraph"/>
        <w:numPr>
          <w:ilvl w:val="0"/>
          <w:numId w:val="4"/>
        </w:numPr>
        <w:spacing w:after="0" w:line="240" w:lineRule="auto"/>
        <w:ind w:left="270" w:hanging="270"/>
        <w:rPr>
          <w:sz w:val="24"/>
          <w:szCs w:val="24"/>
        </w:rPr>
      </w:pPr>
      <w:r w:rsidRPr="005D56F5">
        <w:rPr>
          <w:b/>
          <w:sz w:val="24"/>
          <w:szCs w:val="24"/>
        </w:rPr>
        <w:t>Office of Environmental Health and Safety:</w:t>
      </w:r>
      <w:r w:rsidRPr="005D56F5">
        <w:rPr>
          <w:sz w:val="24"/>
          <w:szCs w:val="24"/>
        </w:rPr>
        <w:t xml:space="preserve"> </w:t>
      </w:r>
      <w:r>
        <w:rPr>
          <w:sz w:val="24"/>
          <w:szCs w:val="24"/>
        </w:rPr>
        <w:t>(</w:t>
      </w:r>
      <w:r w:rsidRPr="005D56F5">
        <w:rPr>
          <w:sz w:val="24"/>
          <w:szCs w:val="24"/>
        </w:rPr>
        <w:t>313</w:t>
      </w:r>
      <w:r>
        <w:rPr>
          <w:sz w:val="24"/>
          <w:szCs w:val="24"/>
        </w:rPr>
        <w:t xml:space="preserve">) </w:t>
      </w:r>
      <w:r w:rsidRPr="005D56F5">
        <w:rPr>
          <w:sz w:val="24"/>
          <w:szCs w:val="24"/>
        </w:rPr>
        <w:t>577-1200, spills or clean-up</w:t>
      </w:r>
    </w:p>
    <w:p w14:paraId="60DC385B" w14:textId="77777777" w:rsidR="005355FB" w:rsidRPr="005D56F5" w:rsidRDefault="005355FB" w:rsidP="005355FB">
      <w:pPr>
        <w:pStyle w:val="ListParagraph"/>
        <w:numPr>
          <w:ilvl w:val="0"/>
          <w:numId w:val="4"/>
        </w:numPr>
        <w:spacing w:after="0" w:line="240" w:lineRule="auto"/>
        <w:ind w:left="274" w:hanging="274"/>
        <w:rPr>
          <w:sz w:val="24"/>
          <w:szCs w:val="24"/>
        </w:rPr>
      </w:pPr>
      <w:r w:rsidRPr="005D56F5">
        <w:rPr>
          <w:b/>
          <w:sz w:val="24"/>
          <w:szCs w:val="24"/>
        </w:rPr>
        <w:t>WSU Fire Marshall:</w:t>
      </w:r>
      <w:r w:rsidRPr="005D56F5">
        <w:rPr>
          <w:sz w:val="24"/>
          <w:szCs w:val="24"/>
        </w:rPr>
        <w:t xml:space="preserve"> (313) 577-3110.</w:t>
      </w:r>
    </w:p>
    <w:p w14:paraId="6E1BF226" w14:textId="6FF60B4D" w:rsidR="005355FB" w:rsidRPr="005355FB" w:rsidRDefault="005355FB" w:rsidP="005355FB">
      <w:pPr>
        <w:shd w:val="clear" w:color="auto" w:fill="D9D9D9" w:themeFill="background1" w:themeFillShade="D9"/>
        <w:spacing w:before="80" w:after="80" w:line="240" w:lineRule="auto"/>
        <w:jc w:val="both"/>
        <w:rPr>
          <w:rFonts w:cstheme="minorHAnsi"/>
          <w:b/>
          <w:sz w:val="24"/>
          <w:szCs w:val="24"/>
        </w:rPr>
      </w:pPr>
      <w:r>
        <w:rPr>
          <w:rStyle w:val="Heading1Char"/>
          <w:rFonts w:asciiTheme="minorHAnsi" w:hAnsiTheme="minorHAnsi" w:cstheme="minorHAnsi"/>
          <w:color w:val="auto"/>
          <w:sz w:val="24"/>
          <w:szCs w:val="24"/>
        </w:rPr>
        <w:t>References</w:t>
      </w:r>
      <w:r w:rsidRPr="005355FB">
        <w:rPr>
          <w:rFonts w:cstheme="minorHAnsi"/>
          <w:b/>
          <w:sz w:val="24"/>
          <w:szCs w:val="24"/>
        </w:rPr>
        <w:t xml:space="preserve"> </w:t>
      </w:r>
    </w:p>
    <w:p w14:paraId="5D996CF1" w14:textId="132D3C63" w:rsidR="006C658A" w:rsidRDefault="00A85A76" w:rsidP="00E2401B">
      <w:pPr>
        <w:spacing w:after="120"/>
        <w:rPr>
          <w:rStyle w:val="BookTitle"/>
          <w:rFonts w:cstheme="minorHAnsi"/>
          <w:b w:val="0"/>
          <w:sz w:val="24"/>
          <w:szCs w:val="24"/>
        </w:rPr>
      </w:pPr>
      <w:hyperlink r:id="rId13" w:history="1">
        <w:r w:rsidR="00E713BD" w:rsidRPr="00E713BD">
          <w:rPr>
            <w:rStyle w:val="Hyperlink"/>
            <w:rFonts w:cstheme="minorHAnsi"/>
            <w:spacing w:val="5"/>
            <w:sz w:val="24"/>
            <w:szCs w:val="24"/>
          </w:rPr>
          <w:t>PubChem – Picric Acid</w:t>
        </w:r>
      </w:hyperlink>
    </w:p>
    <w:p w14:paraId="527FCF13" w14:textId="0C09F081" w:rsidR="00E2401B" w:rsidRPr="00E2401B" w:rsidRDefault="00A85A76" w:rsidP="00E2401B">
      <w:pPr>
        <w:rPr>
          <w:sz w:val="24"/>
          <w:szCs w:val="24"/>
        </w:rPr>
      </w:pPr>
      <w:hyperlink r:id="rId14" w:history="1">
        <w:r w:rsidR="00E2401B" w:rsidRPr="00E2401B">
          <w:rPr>
            <w:rStyle w:val="Hyperlink"/>
            <w:sz w:val="24"/>
            <w:szCs w:val="24"/>
          </w:rPr>
          <w:t>Transport Canada – Dangerous Goods: Picric Acid and Picrate Salts</w:t>
        </w:r>
      </w:hyperlink>
    </w:p>
    <w:p w14:paraId="7DFC58AA" w14:textId="54E2618D" w:rsidR="004C0185" w:rsidRDefault="00A85A76">
      <w:pPr>
        <w:rPr>
          <w:rStyle w:val="BookTitle"/>
          <w:rFonts w:cstheme="minorHAnsi"/>
          <w:b w:val="0"/>
          <w:sz w:val="24"/>
          <w:szCs w:val="24"/>
        </w:rPr>
      </w:pPr>
      <w:hyperlink r:id="rId15" w:history="1">
        <w:r w:rsidR="004C0185" w:rsidRPr="009F5BCE">
          <w:rPr>
            <w:rStyle w:val="cf01"/>
            <w:rFonts w:asciiTheme="minorHAnsi" w:hAnsiTheme="minorHAnsi" w:cstheme="minorHAnsi"/>
            <w:color w:val="0000FF"/>
            <w:sz w:val="24"/>
            <w:szCs w:val="24"/>
            <w:u w:val="single"/>
          </w:rPr>
          <w:t>Picric Acid Hazards</w:t>
        </w:r>
      </w:hyperlink>
    </w:p>
    <w:p w14:paraId="77E6A794" w14:textId="07FFDE35" w:rsidR="00E17BE7" w:rsidRDefault="00E17BE7">
      <w:pPr>
        <w:rPr>
          <w:rStyle w:val="BookTitle"/>
          <w:rFonts w:cstheme="minorHAnsi"/>
          <w:b w:val="0"/>
          <w:sz w:val="24"/>
          <w:szCs w:val="24"/>
        </w:rPr>
      </w:pPr>
      <w:r>
        <w:rPr>
          <w:rStyle w:val="BookTitle"/>
          <w:rFonts w:cstheme="minorHAnsi"/>
          <w:b w:val="0"/>
          <w:sz w:val="24"/>
          <w:szCs w:val="24"/>
        </w:rPr>
        <w:br w:type="page"/>
      </w:r>
    </w:p>
    <w:p w14:paraId="054FBBB7" w14:textId="77777777" w:rsidR="00E17BE7" w:rsidRPr="00D21253" w:rsidRDefault="00E17BE7" w:rsidP="00E17BE7">
      <w:pPr>
        <w:pStyle w:val="NoSpacing"/>
        <w:jc w:val="center"/>
        <w:rPr>
          <w:rFonts w:ascii="Arial" w:hAnsi="Arial" w:cs="Arial"/>
          <w:sz w:val="36"/>
          <w:szCs w:val="36"/>
        </w:rPr>
      </w:pPr>
      <w:r>
        <w:rPr>
          <w:rFonts w:ascii="Arial" w:hAnsi="Arial" w:cs="Arial"/>
          <w:b/>
          <w:sz w:val="36"/>
          <w:szCs w:val="36"/>
        </w:rPr>
        <w:lastRenderedPageBreak/>
        <w:t>Picric Acid Monitoring</w:t>
      </w:r>
    </w:p>
    <w:p w14:paraId="5EE10178" w14:textId="193CD93D" w:rsidR="00E17BE7" w:rsidRDefault="00E17BE7" w:rsidP="00E17BE7">
      <w:pPr>
        <w:pStyle w:val="NoSpacing"/>
        <w:numPr>
          <w:ilvl w:val="0"/>
          <w:numId w:val="7"/>
        </w:numPr>
        <w:rPr>
          <w:rFonts w:ascii="Arial" w:hAnsi="Arial" w:cs="Arial"/>
          <w:sz w:val="24"/>
          <w:szCs w:val="24"/>
        </w:rPr>
      </w:pPr>
      <w:r>
        <w:rPr>
          <w:rFonts w:ascii="Arial" w:hAnsi="Arial" w:cs="Arial"/>
          <w:sz w:val="24"/>
          <w:szCs w:val="24"/>
        </w:rPr>
        <w:t xml:space="preserve">Check containers of picric acid at a minimum </w:t>
      </w:r>
      <w:r w:rsidR="000C3C01">
        <w:rPr>
          <w:rFonts w:ascii="Arial" w:hAnsi="Arial" w:cs="Arial"/>
          <w:sz w:val="24"/>
          <w:szCs w:val="24"/>
        </w:rPr>
        <w:t>quarterly</w:t>
      </w:r>
      <w:r>
        <w:rPr>
          <w:rFonts w:ascii="Arial" w:hAnsi="Arial" w:cs="Arial"/>
          <w:sz w:val="24"/>
          <w:szCs w:val="24"/>
        </w:rPr>
        <w:t>.</w:t>
      </w:r>
    </w:p>
    <w:p w14:paraId="67041524" w14:textId="77777777" w:rsidR="00E17BE7" w:rsidRDefault="00E17BE7" w:rsidP="00E17BE7">
      <w:pPr>
        <w:pStyle w:val="NoSpacing"/>
        <w:numPr>
          <w:ilvl w:val="0"/>
          <w:numId w:val="7"/>
        </w:numPr>
        <w:rPr>
          <w:rFonts w:ascii="Arial" w:hAnsi="Arial" w:cs="Arial"/>
          <w:sz w:val="24"/>
          <w:szCs w:val="24"/>
        </w:rPr>
      </w:pPr>
      <w:r>
        <w:rPr>
          <w:rFonts w:ascii="Arial" w:hAnsi="Arial" w:cs="Arial"/>
          <w:sz w:val="24"/>
          <w:szCs w:val="24"/>
        </w:rPr>
        <w:t>Check for crust or crystal formation around the lid, on the container, and/or inside the container. If present, restrict access to the container and contact OEHS (7-1200) for safe disposal.</w:t>
      </w:r>
    </w:p>
    <w:p w14:paraId="5F4F529B" w14:textId="23DB23B4" w:rsidR="00FE15EB" w:rsidRDefault="00B34ADB" w:rsidP="00FE15EB">
      <w:pPr>
        <w:pStyle w:val="NoSpacing"/>
        <w:numPr>
          <w:ilvl w:val="0"/>
          <w:numId w:val="7"/>
        </w:numPr>
        <w:rPr>
          <w:rFonts w:ascii="Arial" w:hAnsi="Arial" w:cs="Arial"/>
          <w:sz w:val="24"/>
          <w:szCs w:val="24"/>
        </w:rPr>
      </w:pPr>
      <w:r>
        <w:rPr>
          <w:rFonts w:ascii="Arial" w:hAnsi="Arial" w:cs="Arial"/>
          <w:sz w:val="24"/>
          <w:szCs w:val="24"/>
        </w:rPr>
        <w:t>For moistened/saturated picric acid, e</w:t>
      </w:r>
      <w:r w:rsidR="00FE15EB">
        <w:rPr>
          <w:rFonts w:ascii="Arial" w:hAnsi="Arial" w:cs="Arial"/>
          <w:sz w:val="24"/>
          <w:szCs w:val="24"/>
        </w:rPr>
        <w:t xml:space="preserve">nsure bottle contains between </w:t>
      </w:r>
      <w:r w:rsidR="004C0185">
        <w:rPr>
          <w:rFonts w:ascii="Arial" w:hAnsi="Arial" w:cs="Arial"/>
          <w:sz w:val="24"/>
          <w:szCs w:val="24"/>
        </w:rPr>
        <w:t>3</w:t>
      </w:r>
      <w:r w:rsidR="00FE15EB">
        <w:rPr>
          <w:rFonts w:ascii="Arial" w:hAnsi="Arial" w:cs="Arial"/>
          <w:sz w:val="24"/>
          <w:szCs w:val="24"/>
        </w:rPr>
        <w:t xml:space="preserve">0-40% </w:t>
      </w:r>
      <w:r>
        <w:rPr>
          <w:rFonts w:ascii="Arial" w:hAnsi="Arial" w:cs="Arial"/>
          <w:sz w:val="24"/>
          <w:szCs w:val="24"/>
        </w:rPr>
        <w:t>water</w:t>
      </w:r>
      <w:r w:rsidR="00FE15EB">
        <w:rPr>
          <w:rFonts w:ascii="Arial" w:hAnsi="Arial" w:cs="Arial"/>
          <w:sz w:val="24"/>
          <w:szCs w:val="24"/>
        </w:rPr>
        <w:t xml:space="preserve"> </w:t>
      </w:r>
      <w:r>
        <w:rPr>
          <w:rFonts w:ascii="Arial" w:hAnsi="Arial" w:cs="Arial"/>
          <w:sz w:val="24"/>
          <w:szCs w:val="24"/>
        </w:rPr>
        <w:t xml:space="preserve">above the </w:t>
      </w:r>
      <w:r w:rsidR="00281942">
        <w:rPr>
          <w:rFonts w:ascii="Arial" w:hAnsi="Arial" w:cs="Arial"/>
          <w:sz w:val="24"/>
          <w:szCs w:val="24"/>
        </w:rPr>
        <w:t>solid</w:t>
      </w:r>
      <w:r>
        <w:rPr>
          <w:rFonts w:ascii="Arial" w:hAnsi="Arial" w:cs="Arial"/>
          <w:sz w:val="24"/>
          <w:szCs w:val="24"/>
        </w:rPr>
        <w:t xml:space="preserve"> </w:t>
      </w:r>
      <w:r w:rsidR="00FE15EB">
        <w:rPr>
          <w:rFonts w:ascii="Arial" w:hAnsi="Arial" w:cs="Arial"/>
          <w:sz w:val="24"/>
          <w:szCs w:val="24"/>
        </w:rPr>
        <w:t>to maintain safe saturation.</w:t>
      </w:r>
    </w:p>
    <w:p w14:paraId="22AC02FC" w14:textId="77777777" w:rsidR="00E17BE7" w:rsidRDefault="00E17BE7" w:rsidP="00E17BE7">
      <w:pPr>
        <w:pStyle w:val="NoSpacing"/>
        <w:numPr>
          <w:ilvl w:val="0"/>
          <w:numId w:val="7"/>
        </w:numPr>
        <w:rPr>
          <w:rFonts w:ascii="Arial" w:hAnsi="Arial" w:cs="Arial"/>
          <w:sz w:val="24"/>
          <w:szCs w:val="24"/>
        </w:rPr>
      </w:pPr>
      <w:r w:rsidRPr="00D21253">
        <w:rPr>
          <w:rFonts w:ascii="Arial" w:hAnsi="Arial" w:cs="Arial"/>
          <w:sz w:val="24"/>
          <w:szCs w:val="24"/>
        </w:rPr>
        <w:t>Date and initial below</w:t>
      </w:r>
      <w:r>
        <w:rPr>
          <w:rFonts w:ascii="Arial" w:hAnsi="Arial" w:cs="Arial"/>
          <w:sz w:val="24"/>
          <w:szCs w:val="24"/>
        </w:rPr>
        <w:t xml:space="preserve"> each time container is inspected</w:t>
      </w:r>
      <w:r w:rsidRPr="00D21253">
        <w:rPr>
          <w:rFonts w:ascii="Arial" w:hAnsi="Arial" w:cs="Arial"/>
          <w:sz w:val="24"/>
          <w:szCs w:val="24"/>
        </w:rPr>
        <w:t>.</w:t>
      </w:r>
    </w:p>
    <w:p w14:paraId="3BFB4F85" w14:textId="77777777" w:rsidR="00E17BE7" w:rsidRPr="00D21253" w:rsidRDefault="00E17BE7" w:rsidP="00E17BE7">
      <w:pPr>
        <w:pStyle w:val="NoSpacing"/>
        <w:rPr>
          <w:rFonts w:ascii="Arial" w:hAnsi="Arial" w:cs="Arial"/>
          <w:sz w:val="24"/>
          <w:szCs w:val="24"/>
        </w:rPr>
      </w:pPr>
    </w:p>
    <w:p w14:paraId="33267038" w14:textId="77777777" w:rsidR="00E17BE7" w:rsidRDefault="00E17BE7" w:rsidP="00E17BE7">
      <w:pPr>
        <w:pStyle w:val="NoSpacing"/>
        <w:rPr>
          <w:rFonts w:ascii="Arial" w:hAnsi="Arial" w:cs="Arial"/>
          <w:b/>
          <w:sz w:val="24"/>
          <w:szCs w:val="24"/>
        </w:rPr>
      </w:pPr>
      <w:r w:rsidRPr="00D21253">
        <w:rPr>
          <w:rFonts w:ascii="Arial" w:hAnsi="Arial" w:cs="Arial"/>
          <w:b/>
          <w:sz w:val="24"/>
          <w:szCs w:val="24"/>
        </w:rPr>
        <w:t>Room/ Building:</w:t>
      </w:r>
      <w:r>
        <w:rPr>
          <w:rFonts w:ascii="Arial" w:hAnsi="Arial" w:cs="Arial"/>
          <w:b/>
          <w:sz w:val="24"/>
          <w:szCs w:val="24"/>
        </w:rPr>
        <w:t xml:space="preserve"> _______________________________________________________</w:t>
      </w:r>
    </w:p>
    <w:p w14:paraId="64ABD215" w14:textId="77777777" w:rsidR="00E17BE7" w:rsidRDefault="00E17BE7" w:rsidP="00E17BE7">
      <w:pPr>
        <w:pStyle w:val="NoSpacing"/>
        <w:rPr>
          <w:rFonts w:ascii="Arial" w:hAnsi="Arial" w:cs="Arial"/>
          <w:b/>
          <w:sz w:val="24"/>
          <w:szCs w:val="24"/>
        </w:rPr>
      </w:pPr>
    </w:p>
    <w:tbl>
      <w:tblPr>
        <w:tblStyle w:val="TableGrid"/>
        <w:tblW w:w="9648" w:type="dxa"/>
        <w:jc w:val="center"/>
        <w:tblLook w:val="04A0" w:firstRow="1" w:lastRow="0" w:firstColumn="1" w:lastColumn="0" w:noHBand="0" w:noVBand="1"/>
        <w:tblCaption w:val="Eyewash log"/>
        <w:tblDescription w:val="Space for dating and initialing when an eyewash has been flushed and by whom."/>
      </w:tblPr>
      <w:tblGrid>
        <w:gridCol w:w="1440"/>
        <w:gridCol w:w="1584"/>
        <w:gridCol w:w="288"/>
        <w:gridCol w:w="1440"/>
        <w:gridCol w:w="1584"/>
        <w:gridCol w:w="288"/>
        <w:gridCol w:w="1440"/>
        <w:gridCol w:w="1584"/>
      </w:tblGrid>
      <w:tr w:rsidR="00E17BE7" w14:paraId="3ACA0359" w14:textId="77777777" w:rsidTr="00E17BE7">
        <w:trPr>
          <w:trHeight w:val="432"/>
          <w:tblHeader/>
          <w:jc w:val="center"/>
        </w:trPr>
        <w:tc>
          <w:tcPr>
            <w:tcW w:w="1440" w:type="dxa"/>
            <w:tcBorders>
              <w:top w:val="double" w:sz="4" w:space="0" w:color="auto"/>
              <w:left w:val="double" w:sz="4" w:space="0" w:color="auto"/>
              <w:bottom w:val="double" w:sz="4" w:space="0" w:color="auto"/>
            </w:tcBorders>
          </w:tcPr>
          <w:p w14:paraId="2EA7633F" w14:textId="77777777" w:rsidR="00E17BE7" w:rsidRPr="0035753E" w:rsidRDefault="00E17BE7" w:rsidP="004C256A">
            <w:pPr>
              <w:pStyle w:val="NoSpacing"/>
              <w:rPr>
                <w:rFonts w:ascii="Arial" w:hAnsi="Arial" w:cs="Arial"/>
                <w:b/>
                <w:sz w:val="24"/>
                <w:szCs w:val="24"/>
              </w:rPr>
            </w:pPr>
            <w:r w:rsidRPr="0035753E">
              <w:rPr>
                <w:rFonts w:ascii="Arial" w:hAnsi="Arial" w:cs="Arial"/>
                <w:b/>
                <w:sz w:val="24"/>
                <w:szCs w:val="24"/>
              </w:rPr>
              <w:t>DATE</w:t>
            </w:r>
          </w:p>
        </w:tc>
        <w:tc>
          <w:tcPr>
            <w:tcW w:w="1584" w:type="dxa"/>
            <w:tcBorders>
              <w:top w:val="double" w:sz="4" w:space="0" w:color="auto"/>
              <w:bottom w:val="double" w:sz="4" w:space="0" w:color="auto"/>
              <w:right w:val="double" w:sz="4" w:space="0" w:color="auto"/>
            </w:tcBorders>
          </w:tcPr>
          <w:p w14:paraId="669725C7" w14:textId="77777777" w:rsidR="00E17BE7" w:rsidRPr="0035753E" w:rsidRDefault="00E17BE7" w:rsidP="004C256A">
            <w:pPr>
              <w:pStyle w:val="NoSpacing"/>
              <w:rPr>
                <w:rFonts w:ascii="Arial" w:hAnsi="Arial" w:cs="Arial"/>
                <w:b/>
                <w:sz w:val="24"/>
                <w:szCs w:val="24"/>
              </w:rPr>
            </w:pPr>
            <w:r w:rsidRPr="0035753E">
              <w:rPr>
                <w:rFonts w:ascii="Arial" w:hAnsi="Arial" w:cs="Arial"/>
                <w:b/>
                <w:sz w:val="24"/>
                <w:szCs w:val="24"/>
              </w:rPr>
              <w:t>INITIAL</w:t>
            </w:r>
            <w:r>
              <w:rPr>
                <w:rFonts w:ascii="Arial" w:hAnsi="Arial" w:cs="Arial"/>
                <w:b/>
                <w:sz w:val="24"/>
                <w:szCs w:val="24"/>
              </w:rPr>
              <w:t>S</w:t>
            </w:r>
          </w:p>
        </w:tc>
        <w:tc>
          <w:tcPr>
            <w:tcW w:w="288" w:type="dxa"/>
            <w:tcBorders>
              <w:top w:val="nil"/>
              <w:left w:val="double" w:sz="4" w:space="0" w:color="auto"/>
              <w:bottom w:val="nil"/>
              <w:right w:val="double" w:sz="4" w:space="0" w:color="auto"/>
            </w:tcBorders>
          </w:tcPr>
          <w:p w14:paraId="4F911E7B" w14:textId="77777777" w:rsidR="00E17BE7" w:rsidRDefault="00E17BE7" w:rsidP="004C256A">
            <w:pPr>
              <w:pStyle w:val="NoSpacing"/>
              <w:rPr>
                <w:rFonts w:ascii="Arial" w:hAnsi="Arial" w:cs="Arial"/>
                <w:sz w:val="24"/>
                <w:szCs w:val="24"/>
              </w:rPr>
            </w:pPr>
          </w:p>
        </w:tc>
        <w:tc>
          <w:tcPr>
            <w:tcW w:w="1440" w:type="dxa"/>
            <w:tcBorders>
              <w:top w:val="double" w:sz="4" w:space="0" w:color="auto"/>
              <w:left w:val="double" w:sz="4" w:space="0" w:color="auto"/>
              <w:bottom w:val="double" w:sz="4" w:space="0" w:color="auto"/>
            </w:tcBorders>
          </w:tcPr>
          <w:p w14:paraId="0D4B30B3" w14:textId="77777777" w:rsidR="00E17BE7" w:rsidRDefault="00E17BE7" w:rsidP="004C256A">
            <w:pPr>
              <w:pStyle w:val="NoSpacing"/>
              <w:rPr>
                <w:rFonts w:ascii="Arial" w:hAnsi="Arial" w:cs="Arial"/>
                <w:sz w:val="24"/>
                <w:szCs w:val="24"/>
              </w:rPr>
            </w:pPr>
            <w:r w:rsidRPr="0035753E">
              <w:rPr>
                <w:rFonts w:ascii="Arial" w:hAnsi="Arial" w:cs="Arial"/>
                <w:b/>
                <w:sz w:val="24"/>
                <w:szCs w:val="24"/>
              </w:rPr>
              <w:t>DATE</w:t>
            </w:r>
          </w:p>
        </w:tc>
        <w:tc>
          <w:tcPr>
            <w:tcW w:w="1584" w:type="dxa"/>
            <w:tcBorders>
              <w:top w:val="double" w:sz="4" w:space="0" w:color="auto"/>
              <w:bottom w:val="double" w:sz="4" w:space="0" w:color="auto"/>
              <w:right w:val="double" w:sz="4" w:space="0" w:color="auto"/>
            </w:tcBorders>
          </w:tcPr>
          <w:p w14:paraId="1897F89B" w14:textId="77777777" w:rsidR="00E17BE7" w:rsidRDefault="00E17BE7" w:rsidP="004C256A">
            <w:pPr>
              <w:pStyle w:val="NoSpacing"/>
              <w:rPr>
                <w:rFonts w:ascii="Arial" w:hAnsi="Arial" w:cs="Arial"/>
                <w:sz w:val="24"/>
                <w:szCs w:val="24"/>
              </w:rPr>
            </w:pPr>
            <w:r w:rsidRPr="0035753E">
              <w:rPr>
                <w:rFonts w:ascii="Arial" w:hAnsi="Arial" w:cs="Arial"/>
                <w:b/>
                <w:sz w:val="24"/>
                <w:szCs w:val="24"/>
              </w:rPr>
              <w:t>INITIAL</w:t>
            </w:r>
            <w:r>
              <w:rPr>
                <w:rFonts w:ascii="Arial" w:hAnsi="Arial" w:cs="Arial"/>
                <w:b/>
                <w:sz w:val="24"/>
                <w:szCs w:val="24"/>
              </w:rPr>
              <w:t>S</w:t>
            </w:r>
          </w:p>
        </w:tc>
        <w:tc>
          <w:tcPr>
            <w:tcW w:w="288" w:type="dxa"/>
            <w:tcBorders>
              <w:top w:val="nil"/>
              <w:left w:val="double" w:sz="4" w:space="0" w:color="auto"/>
              <w:bottom w:val="nil"/>
              <w:right w:val="double" w:sz="4" w:space="0" w:color="auto"/>
            </w:tcBorders>
          </w:tcPr>
          <w:p w14:paraId="192900EB" w14:textId="77777777" w:rsidR="00E17BE7" w:rsidRDefault="00E17BE7" w:rsidP="004C256A">
            <w:pPr>
              <w:pStyle w:val="NoSpacing"/>
              <w:rPr>
                <w:rFonts w:ascii="Arial" w:hAnsi="Arial" w:cs="Arial"/>
                <w:sz w:val="24"/>
                <w:szCs w:val="24"/>
              </w:rPr>
            </w:pPr>
          </w:p>
        </w:tc>
        <w:tc>
          <w:tcPr>
            <w:tcW w:w="1440" w:type="dxa"/>
            <w:tcBorders>
              <w:top w:val="double" w:sz="4" w:space="0" w:color="auto"/>
              <w:left w:val="double" w:sz="4" w:space="0" w:color="auto"/>
              <w:bottom w:val="double" w:sz="4" w:space="0" w:color="auto"/>
            </w:tcBorders>
          </w:tcPr>
          <w:p w14:paraId="5514EA19" w14:textId="77777777" w:rsidR="00E17BE7" w:rsidRDefault="00E17BE7" w:rsidP="004C256A">
            <w:pPr>
              <w:pStyle w:val="NoSpacing"/>
              <w:rPr>
                <w:rFonts w:ascii="Arial" w:hAnsi="Arial" w:cs="Arial"/>
                <w:sz w:val="24"/>
                <w:szCs w:val="24"/>
              </w:rPr>
            </w:pPr>
            <w:r w:rsidRPr="0035753E">
              <w:rPr>
                <w:rFonts w:ascii="Arial" w:hAnsi="Arial" w:cs="Arial"/>
                <w:b/>
                <w:sz w:val="24"/>
                <w:szCs w:val="24"/>
              </w:rPr>
              <w:t>DATE</w:t>
            </w:r>
          </w:p>
        </w:tc>
        <w:tc>
          <w:tcPr>
            <w:tcW w:w="1584" w:type="dxa"/>
            <w:tcBorders>
              <w:top w:val="double" w:sz="4" w:space="0" w:color="auto"/>
              <w:bottom w:val="double" w:sz="4" w:space="0" w:color="auto"/>
              <w:right w:val="double" w:sz="4" w:space="0" w:color="auto"/>
            </w:tcBorders>
          </w:tcPr>
          <w:p w14:paraId="1E6599CD" w14:textId="77777777" w:rsidR="00E17BE7" w:rsidRDefault="00E17BE7" w:rsidP="004C256A">
            <w:pPr>
              <w:pStyle w:val="NoSpacing"/>
              <w:rPr>
                <w:rFonts w:ascii="Arial" w:hAnsi="Arial" w:cs="Arial"/>
                <w:sz w:val="24"/>
                <w:szCs w:val="24"/>
              </w:rPr>
            </w:pPr>
            <w:r w:rsidRPr="0035753E">
              <w:rPr>
                <w:rFonts w:ascii="Arial" w:hAnsi="Arial" w:cs="Arial"/>
                <w:b/>
                <w:sz w:val="24"/>
                <w:szCs w:val="24"/>
              </w:rPr>
              <w:t>INITIAL</w:t>
            </w:r>
            <w:r>
              <w:rPr>
                <w:rFonts w:ascii="Arial" w:hAnsi="Arial" w:cs="Arial"/>
                <w:b/>
                <w:sz w:val="24"/>
                <w:szCs w:val="24"/>
              </w:rPr>
              <w:t>S</w:t>
            </w:r>
          </w:p>
        </w:tc>
      </w:tr>
      <w:tr w:rsidR="00E17BE7" w14:paraId="021D367B" w14:textId="77777777" w:rsidTr="00E17BE7">
        <w:trPr>
          <w:trHeight w:val="432"/>
          <w:jc w:val="center"/>
        </w:trPr>
        <w:tc>
          <w:tcPr>
            <w:tcW w:w="1440" w:type="dxa"/>
            <w:tcBorders>
              <w:top w:val="double" w:sz="4" w:space="0" w:color="auto"/>
              <w:left w:val="double" w:sz="4" w:space="0" w:color="auto"/>
            </w:tcBorders>
          </w:tcPr>
          <w:p w14:paraId="72EF37CF" w14:textId="77777777" w:rsidR="00E17BE7" w:rsidRDefault="00E17BE7" w:rsidP="004C256A">
            <w:pPr>
              <w:pStyle w:val="NoSpacing"/>
              <w:rPr>
                <w:rFonts w:ascii="Arial" w:hAnsi="Arial" w:cs="Arial"/>
                <w:sz w:val="24"/>
                <w:szCs w:val="24"/>
              </w:rPr>
            </w:pPr>
          </w:p>
        </w:tc>
        <w:tc>
          <w:tcPr>
            <w:tcW w:w="1584" w:type="dxa"/>
            <w:tcBorders>
              <w:top w:val="double" w:sz="4" w:space="0" w:color="auto"/>
              <w:right w:val="double" w:sz="4" w:space="0" w:color="auto"/>
            </w:tcBorders>
          </w:tcPr>
          <w:p w14:paraId="5E3CEF2B"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62B01EE8" w14:textId="77777777" w:rsidR="00E17BE7" w:rsidRDefault="00E17BE7" w:rsidP="004C256A">
            <w:pPr>
              <w:pStyle w:val="NoSpacing"/>
              <w:rPr>
                <w:rFonts w:ascii="Arial" w:hAnsi="Arial" w:cs="Arial"/>
                <w:sz w:val="24"/>
                <w:szCs w:val="24"/>
              </w:rPr>
            </w:pPr>
          </w:p>
        </w:tc>
        <w:tc>
          <w:tcPr>
            <w:tcW w:w="1440" w:type="dxa"/>
            <w:tcBorders>
              <w:top w:val="double" w:sz="4" w:space="0" w:color="auto"/>
              <w:left w:val="double" w:sz="4" w:space="0" w:color="auto"/>
            </w:tcBorders>
          </w:tcPr>
          <w:p w14:paraId="199EA5C4" w14:textId="77777777" w:rsidR="00E17BE7" w:rsidRDefault="00E17BE7" w:rsidP="004C256A">
            <w:pPr>
              <w:pStyle w:val="NoSpacing"/>
              <w:rPr>
                <w:rFonts w:ascii="Arial" w:hAnsi="Arial" w:cs="Arial"/>
                <w:sz w:val="24"/>
                <w:szCs w:val="24"/>
              </w:rPr>
            </w:pPr>
          </w:p>
        </w:tc>
        <w:tc>
          <w:tcPr>
            <w:tcW w:w="1584" w:type="dxa"/>
            <w:tcBorders>
              <w:top w:val="double" w:sz="4" w:space="0" w:color="auto"/>
              <w:right w:val="double" w:sz="4" w:space="0" w:color="auto"/>
            </w:tcBorders>
          </w:tcPr>
          <w:p w14:paraId="764A10DD"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1275E520" w14:textId="77777777" w:rsidR="00E17BE7" w:rsidRDefault="00E17BE7" w:rsidP="004C256A">
            <w:pPr>
              <w:pStyle w:val="NoSpacing"/>
              <w:rPr>
                <w:rFonts w:ascii="Arial" w:hAnsi="Arial" w:cs="Arial"/>
                <w:sz w:val="24"/>
                <w:szCs w:val="24"/>
              </w:rPr>
            </w:pPr>
          </w:p>
        </w:tc>
        <w:tc>
          <w:tcPr>
            <w:tcW w:w="1440" w:type="dxa"/>
            <w:tcBorders>
              <w:top w:val="double" w:sz="4" w:space="0" w:color="auto"/>
              <w:left w:val="double" w:sz="4" w:space="0" w:color="auto"/>
            </w:tcBorders>
          </w:tcPr>
          <w:p w14:paraId="4FE3B366" w14:textId="77777777" w:rsidR="00E17BE7" w:rsidRDefault="00E17BE7" w:rsidP="004C256A">
            <w:pPr>
              <w:pStyle w:val="NoSpacing"/>
              <w:rPr>
                <w:rFonts w:ascii="Arial" w:hAnsi="Arial" w:cs="Arial"/>
                <w:sz w:val="24"/>
                <w:szCs w:val="24"/>
              </w:rPr>
            </w:pPr>
          </w:p>
        </w:tc>
        <w:tc>
          <w:tcPr>
            <w:tcW w:w="1584" w:type="dxa"/>
            <w:tcBorders>
              <w:top w:val="double" w:sz="4" w:space="0" w:color="auto"/>
              <w:right w:val="double" w:sz="4" w:space="0" w:color="auto"/>
            </w:tcBorders>
          </w:tcPr>
          <w:p w14:paraId="6D66216D" w14:textId="77777777" w:rsidR="00E17BE7" w:rsidRDefault="00E17BE7" w:rsidP="004C256A">
            <w:pPr>
              <w:pStyle w:val="NoSpacing"/>
              <w:rPr>
                <w:rFonts w:ascii="Arial" w:hAnsi="Arial" w:cs="Arial"/>
                <w:sz w:val="24"/>
                <w:szCs w:val="24"/>
              </w:rPr>
            </w:pPr>
          </w:p>
        </w:tc>
      </w:tr>
      <w:tr w:rsidR="00E17BE7" w14:paraId="2CDBE449" w14:textId="77777777" w:rsidTr="00E17BE7">
        <w:trPr>
          <w:trHeight w:val="432"/>
          <w:jc w:val="center"/>
        </w:trPr>
        <w:tc>
          <w:tcPr>
            <w:tcW w:w="1440" w:type="dxa"/>
            <w:tcBorders>
              <w:left w:val="double" w:sz="4" w:space="0" w:color="auto"/>
            </w:tcBorders>
          </w:tcPr>
          <w:p w14:paraId="35BFC51B"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18F96E09"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33FF15DA"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5BF62A14"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DB931F6"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14BE650A"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6736ECB9"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12468F9" w14:textId="77777777" w:rsidR="00E17BE7" w:rsidRDefault="00E17BE7" w:rsidP="004C256A">
            <w:pPr>
              <w:pStyle w:val="NoSpacing"/>
              <w:rPr>
                <w:rFonts w:ascii="Arial" w:hAnsi="Arial" w:cs="Arial"/>
                <w:sz w:val="24"/>
                <w:szCs w:val="24"/>
              </w:rPr>
            </w:pPr>
          </w:p>
        </w:tc>
      </w:tr>
      <w:tr w:rsidR="00E17BE7" w14:paraId="0D62B717" w14:textId="77777777" w:rsidTr="00E17BE7">
        <w:trPr>
          <w:trHeight w:val="432"/>
          <w:jc w:val="center"/>
        </w:trPr>
        <w:tc>
          <w:tcPr>
            <w:tcW w:w="1440" w:type="dxa"/>
            <w:tcBorders>
              <w:left w:val="double" w:sz="4" w:space="0" w:color="auto"/>
            </w:tcBorders>
          </w:tcPr>
          <w:p w14:paraId="0AD19778"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25AC8CFE"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67A9C12A"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766460BD"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3E035DD"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4B7F14DC"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655010E3"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BA4D3EB" w14:textId="77777777" w:rsidR="00E17BE7" w:rsidRDefault="00E17BE7" w:rsidP="004C256A">
            <w:pPr>
              <w:pStyle w:val="NoSpacing"/>
              <w:rPr>
                <w:rFonts w:ascii="Arial" w:hAnsi="Arial" w:cs="Arial"/>
                <w:sz w:val="24"/>
                <w:szCs w:val="24"/>
              </w:rPr>
            </w:pPr>
          </w:p>
        </w:tc>
      </w:tr>
      <w:tr w:rsidR="00E17BE7" w14:paraId="30302FB2" w14:textId="77777777" w:rsidTr="00E17BE7">
        <w:trPr>
          <w:trHeight w:val="432"/>
          <w:jc w:val="center"/>
        </w:trPr>
        <w:tc>
          <w:tcPr>
            <w:tcW w:w="1440" w:type="dxa"/>
            <w:tcBorders>
              <w:left w:val="double" w:sz="4" w:space="0" w:color="auto"/>
            </w:tcBorders>
          </w:tcPr>
          <w:p w14:paraId="1F16A33B"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280D8EA"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640E519D"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145DCE40"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6DBE3B66"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35F9A334"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44F6D224"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BE87729" w14:textId="77777777" w:rsidR="00E17BE7" w:rsidRDefault="00E17BE7" w:rsidP="004C256A">
            <w:pPr>
              <w:pStyle w:val="NoSpacing"/>
              <w:rPr>
                <w:rFonts w:ascii="Arial" w:hAnsi="Arial" w:cs="Arial"/>
                <w:sz w:val="24"/>
                <w:szCs w:val="24"/>
              </w:rPr>
            </w:pPr>
          </w:p>
        </w:tc>
      </w:tr>
      <w:tr w:rsidR="00E17BE7" w14:paraId="25426788" w14:textId="77777777" w:rsidTr="00E17BE7">
        <w:trPr>
          <w:trHeight w:val="432"/>
          <w:jc w:val="center"/>
        </w:trPr>
        <w:tc>
          <w:tcPr>
            <w:tcW w:w="1440" w:type="dxa"/>
            <w:tcBorders>
              <w:left w:val="double" w:sz="4" w:space="0" w:color="auto"/>
            </w:tcBorders>
          </w:tcPr>
          <w:p w14:paraId="43A2844C"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CBA4022"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203B411B"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1C3D59BD"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78A87296"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7140D6E8"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5F816A35"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2D44AB3" w14:textId="77777777" w:rsidR="00E17BE7" w:rsidRDefault="00E17BE7" w:rsidP="004C256A">
            <w:pPr>
              <w:pStyle w:val="NoSpacing"/>
              <w:rPr>
                <w:rFonts w:ascii="Arial" w:hAnsi="Arial" w:cs="Arial"/>
                <w:sz w:val="24"/>
                <w:szCs w:val="24"/>
              </w:rPr>
            </w:pPr>
          </w:p>
        </w:tc>
      </w:tr>
      <w:tr w:rsidR="00E17BE7" w14:paraId="0B1DCEAF" w14:textId="77777777" w:rsidTr="00E17BE7">
        <w:trPr>
          <w:trHeight w:val="432"/>
          <w:jc w:val="center"/>
        </w:trPr>
        <w:tc>
          <w:tcPr>
            <w:tcW w:w="1440" w:type="dxa"/>
            <w:tcBorders>
              <w:left w:val="double" w:sz="4" w:space="0" w:color="auto"/>
            </w:tcBorders>
          </w:tcPr>
          <w:p w14:paraId="7F8A9037"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1CB8D96"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790373DA"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14807387"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1EDCB9DE"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14D3397E"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065140F6"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7635DAF5" w14:textId="77777777" w:rsidR="00E17BE7" w:rsidRDefault="00E17BE7" w:rsidP="004C256A">
            <w:pPr>
              <w:pStyle w:val="NoSpacing"/>
              <w:rPr>
                <w:rFonts w:ascii="Arial" w:hAnsi="Arial" w:cs="Arial"/>
                <w:sz w:val="24"/>
                <w:szCs w:val="24"/>
              </w:rPr>
            </w:pPr>
          </w:p>
        </w:tc>
      </w:tr>
      <w:tr w:rsidR="00E17BE7" w14:paraId="04725395" w14:textId="77777777" w:rsidTr="00E17BE7">
        <w:trPr>
          <w:trHeight w:val="432"/>
          <w:jc w:val="center"/>
        </w:trPr>
        <w:tc>
          <w:tcPr>
            <w:tcW w:w="1440" w:type="dxa"/>
            <w:tcBorders>
              <w:left w:val="double" w:sz="4" w:space="0" w:color="auto"/>
            </w:tcBorders>
          </w:tcPr>
          <w:p w14:paraId="118ED5C9"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2FAC3B10"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7D62B3BE"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4E96858C"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7F8E19B5"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097D2A65"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21D01F10"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8446F65" w14:textId="77777777" w:rsidR="00E17BE7" w:rsidRDefault="00E17BE7" w:rsidP="004C256A">
            <w:pPr>
              <w:pStyle w:val="NoSpacing"/>
              <w:rPr>
                <w:rFonts w:ascii="Arial" w:hAnsi="Arial" w:cs="Arial"/>
                <w:sz w:val="24"/>
                <w:szCs w:val="24"/>
              </w:rPr>
            </w:pPr>
          </w:p>
        </w:tc>
      </w:tr>
      <w:tr w:rsidR="00E17BE7" w14:paraId="33299FF4" w14:textId="77777777" w:rsidTr="00E17BE7">
        <w:trPr>
          <w:trHeight w:val="432"/>
          <w:jc w:val="center"/>
        </w:trPr>
        <w:tc>
          <w:tcPr>
            <w:tcW w:w="1440" w:type="dxa"/>
            <w:tcBorders>
              <w:left w:val="double" w:sz="4" w:space="0" w:color="auto"/>
            </w:tcBorders>
          </w:tcPr>
          <w:p w14:paraId="30FD1F19"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799EBCBF"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59BBF434"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1A9462CF"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99F529A"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0030A8A7"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65C2C5D0"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7C2BB0C6" w14:textId="77777777" w:rsidR="00E17BE7" w:rsidRDefault="00E17BE7" w:rsidP="004C256A">
            <w:pPr>
              <w:pStyle w:val="NoSpacing"/>
              <w:rPr>
                <w:rFonts w:ascii="Arial" w:hAnsi="Arial" w:cs="Arial"/>
                <w:sz w:val="24"/>
                <w:szCs w:val="24"/>
              </w:rPr>
            </w:pPr>
          </w:p>
        </w:tc>
      </w:tr>
      <w:tr w:rsidR="00E17BE7" w14:paraId="149D491F" w14:textId="77777777" w:rsidTr="00E17BE7">
        <w:trPr>
          <w:trHeight w:val="432"/>
          <w:jc w:val="center"/>
        </w:trPr>
        <w:tc>
          <w:tcPr>
            <w:tcW w:w="1440" w:type="dxa"/>
            <w:tcBorders>
              <w:left w:val="double" w:sz="4" w:space="0" w:color="auto"/>
            </w:tcBorders>
          </w:tcPr>
          <w:p w14:paraId="5EEA2F93"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593015BC"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24BEA663"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4101FCAE"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4477B74"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4557B542"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50D16D95"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D65C759" w14:textId="77777777" w:rsidR="00E17BE7" w:rsidRDefault="00E17BE7" w:rsidP="004C256A">
            <w:pPr>
              <w:pStyle w:val="NoSpacing"/>
              <w:rPr>
                <w:rFonts w:ascii="Arial" w:hAnsi="Arial" w:cs="Arial"/>
                <w:sz w:val="24"/>
                <w:szCs w:val="24"/>
              </w:rPr>
            </w:pPr>
          </w:p>
        </w:tc>
      </w:tr>
      <w:tr w:rsidR="00E17BE7" w14:paraId="234E07EE" w14:textId="77777777" w:rsidTr="00E17BE7">
        <w:trPr>
          <w:trHeight w:val="432"/>
          <w:jc w:val="center"/>
        </w:trPr>
        <w:tc>
          <w:tcPr>
            <w:tcW w:w="1440" w:type="dxa"/>
            <w:tcBorders>
              <w:left w:val="double" w:sz="4" w:space="0" w:color="auto"/>
            </w:tcBorders>
          </w:tcPr>
          <w:p w14:paraId="710AEF0B"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B816F75"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3F9DBC16"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21457701"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0F32122"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0A4AB892"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6F977AC0"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214D088F" w14:textId="77777777" w:rsidR="00E17BE7" w:rsidRDefault="00E17BE7" w:rsidP="004C256A">
            <w:pPr>
              <w:pStyle w:val="NoSpacing"/>
              <w:rPr>
                <w:rFonts w:ascii="Arial" w:hAnsi="Arial" w:cs="Arial"/>
                <w:sz w:val="24"/>
                <w:szCs w:val="24"/>
              </w:rPr>
            </w:pPr>
          </w:p>
        </w:tc>
      </w:tr>
      <w:tr w:rsidR="00E17BE7" w14:paraId="38AD4DCC" w14:textId="77777777" w:rsidTr="00E17BE7">
        <w:trPr>
          <w:trHeight w:val="432"/>
          <w:jc w:val="center"/>
        </w:trPr>
        <w:tc>
          <w:tcPr>
            <w:tcW w:w="1440" w:type="dxa"/>
            <w:tcBorders>
              <w:left w:val="double" w:sz="4" w:space="0" w:color="auto"/>
            </w:tcBorders>
          </w:tcPr>
          <w:p w14:paraId="0392EEDC"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36E226A5"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1CF14EAD"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7064084E"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89F80C9"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2A1C80F4"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228BD3A1"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694289CC" w14:textId="77777777" w:rsidR="00E17BE7" w:rsidRDefault="00E17BE7" w:rsidP="004C256A">
            <w:pPr>
              <w:pStyle w:val="NoSpacing"/>
              <w:rPr>
                <w:rFonts w:ascii="Arial" w:hAnsi="Arial" w:cs="Arial"/>
                <w:sz w:val="24"/>
                <w:szCs w:val="24"/>
              </w:rPr>
            </w:pPr>
          </w:p>
        </w:tc>
      </w:tr>
      <w:tr w:rsidR="00E17BE7" w14:paraId="0FB6859D" w14:textId="77777777" w:rsidTr="00E17BE7">
        <w:trPr>
          <w:trHeight w:val="432"/>
          <w:jc w:val="center"/>
        </w:trPr>
        <w:tc>
          <w:tcPr>
            <w:tcW w:w="1440" w:type="dxa"/>
            <w:tcBorders>
              <w:left w:val="double" w:sz="4" w:space="0" w:color="auto"/>
            </w:tcBorders>
          </w:tcPr>
          <w:p w14:paraId="6B8E5A28"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F25A292"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71DAA68F"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6C34AEE3"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3C262CE2"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1F949BAB"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2324A020"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F1FBD85" w14:textId="77777777" w:rsidR="00E17BE7" w:rsidRDefault="00E17BE7" w:rsidP="004C256A">
            <w:pPr>
              <w:pStyle w:val="NoSpacing"/>
              <w:rPr>
                <w:rFonts w:ascii="Arial" w:hAnsi="Arial" w:cs="Arial"/>
                <w:sz w:val="24"/>
                <w:szCs w:val="24"/>
              </w:rPr>
            </w:pPr>
          </w:p>
        </w:tc>
      </w:tr>
      <w:tr w:rsidR="00E17BE7" w14:paraId="0D8062FF" w14:textId="77777777" w:rsidTr="00E17BE7">
        <w:trPr>
          <w:trHeight w:val="432"/>
          <w:jc w:val="center"/>
        </w:trPr>
        <w:tc>
          <w:tcPr>
            <w:tcW w:w="1440" w:type="dxa"/>
            <w:tcBorders>
              <w:left w:val="double" w:sz="4" w:space="0" w:color="auto"/>
            </w:tcBorders>
          </w:tcPr>
          <w:p w14:paraId="683099E5"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2B8CD96F"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557E38BC"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66537416"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2A99707F"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5B7D7F51"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788A35B1"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693ABD63" w14:textId="77777777" w:rsidR="00E17BE7" w:rsidRDefault="00E17BE7" w:rsidP="004C256A">
            <w:pPr>
              <w:pStyle w:val="NoSpacing"/>
              <w:rPr>
                <w:rFonts w:ascii="Arial" w:hAnsi="Arial" w:cs="Arial"/>
                <w:sz w:val="24"/>
                <w:szCs w:val="24"/>
              </w:rPr>
            </w:pPr>
          </w:p>
        </w:tc>
      </w:tr>
      <w:tr w:rsidR="00E17BE7" w14:paraId="57465928" w14:textId="77777777" w:rsidTr="00E17BE7">
        <w:trPr>
          <w:trHeight w:val="432"/>
          <w:jc w:val="center"/>
        </w:trPr>
        <w:tc>
          <w:tcPr>
            <w:tcW w:w="1440" w:type="dxa"/>
            <w:tcBorders>
              <w:left w:val="double" w:sz="4" w:space="0" w:color="auto"/>
            </w:tcBorders>
          </w:tcPr>
          <w:p w14:paraId="116296EC"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E449DC0"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79648332"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200A1B10"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3EBCFF11"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7392093D"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44794FBD"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7CF4D2C2" w14:textId="77777777" w:rsidR="00E17BE7" w:rsidRDefault="00E17BE7" w:rsidP="004C256A">
            <w:pPr>
              <w:pStyle w:val="NoSpacing"/>
              <w:rPr>
                <w:rFonts w:ascii="Arial" w:hAnsi="Arial" w:cs="Arial"/>
                <w:sz w:val="24"/>
                <w:szCs w:val="24"/>
              </w:rPr>
            </w:pPr>
          </w:p>
        </w:tc>
      </w:tr>
      <w:tr w:rsidR="00E17BE7" w14:paraId="39205B4B" w14:textId="77777777" w:rsidTr="00E17BE7">
        <w:trPr>
          <w:trHeight w:val="432"/>
          <w:jc w:val="center"/>
        </w:trPr>
        <w:tc>
          <w:tcPr>
            <w:tcW w:w="1440" w:type="dxa"/>
            <w:tcBorders>
              <w:left w:val="double" w:sz="4" w:space="0" w:color="auto"/>
            </w:tcBorders>
          </w:tcPr>
          <w:p w14:paraId="40D736F6"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1B6456A2"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735C4177"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35487069"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370D417D"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12962DFB"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266EBA4C"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0EDAD5C" w14:textId="77777777" w:rsidR="00E17BE7" w:rsidRDefault="00E17BE7" w:rsidP="004C256A">
            <w:pPr>
              <w:pStyle w:val="NoSpacing"/>
              <w:rPr>
                <w:rFonts w:ascii="Arial" w:hAnsi="Arial" w:cs="Arial"/>
                <w:sz w:val="24"/>
                <w:szCs w:val="24"/>
              </w:rPr>
            </w:pPr>
          </w:p>
        </w:tc>
      </w:tr>
      <w:tr w:rsidR="00E17BE7" w14:paraId="0B7AC874" w14:textId="77777777" w:rsidTr="00E17BE7">
        <w:trPr>
          <w:trHeight w:val="432"/>
          <w:jc w:val="center"/>
        </w:trPr>
        <w:tc>
          <w:tcPr>
            <w:tcW w:w="1440" w:type="dxa"/>
            <w:tcBorders>
              <w:left w:val="double" w:sz="4" w:space="0" w:color="auto"/>
            </w:tcBorders>
          </w:tcPr>
          <w:p w14:paraId="295B20EB"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280AA00E"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3AAAF3E8"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4B5BD54F"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1D132339"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023B0E4A"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2E9FD26C"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4585327" w14:textId="77777777" w:rsidR="00E17BE7" w:rsidRDefault="00E17BE7" w:rsidP="004C256A">
            <w:pPr>
              <w:pStyle w:val="NoSpacing"/>
              <w:rPr>
                <w:rFonts w:ascii="Arial" w:hAnsi="Arial" w:cs="Arial"/>
                <w:sz w:val="24"/>
                <w:szCs w:val="24"/>
              </w:rPr>
            </w:pPr>
          </w:p>
        </w:tc>
      </w:tr>
      <w:tr w:rsidR="00E17BE7" w14:paraId="187C23A0" w14:textId="77777777" w:rsidTr="00E17BE7">
        <w:trPr>
          <w:trHeight w:val="432"/>
          <w:jc w:val="center"/>
        </w:trPr>
        <w:tc>
          <w:tcPr>
            <w:tcW w:w="1440" w:type="dxa"/>
            <w:tcBorders>
              <w:left w:val="double" w:sz="4" w:space="0" w:color="auto"/>
            </w:tcBorders>
          </w:tcPr>
          <w:p w14:paraId="0068AFFC"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4B33FF9B"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24E1CBD5"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0555692C"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38B078B4"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65136250"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33AF777F"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6D881435" w14:textId="77777777" w:rsidR="00E17BE7" w:rsidRDefault="00E17BE7" w:rsidP="004C256A">
            <w:pPr>
              <w:pStyle w:val="NoSpacing"/>
              <w:rPr>
                <w:rFonts w:ascii="Arial" w:hAnsi="Arial" w:cs="Arial"/>
                <w:sz w:val="24"/>
                <w:szCs w:val="24"/>
              </w:rPr>
            </w:pPr>
          </w:p>
        </w:tc>
      </w:tr>
      <w:tr w:rsidR="00E17BE7" w14:paraId="18C02BC1" w14:textId="77777777" w:rsidTr="00E17BE7">
        <w:trPr>
          <w:trHeight w:val="432"/>
          <w:jc w:val="center"/>
        </w:trPr>
        <w:tc>
          <w:tcPr>
            <w:tcW w:w="1440" w:type="dxa"/>
            <w:tcBorders>
              <w:left w:val="double" w:sz="4" w:space="0" w:color="auto"/>
            </w:tcBorders>
          </w:tcPr>
          <w:p w14:paraId="6D6F7A07"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68A954A1"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43208885"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52221C99"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1B001F6"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5847EED1" w14:textId="77777777" w:rsidR="00E17BE7" w:rsidRDefault="00E17BE7" w:rsidP="004C256A">
            <w:pPr>
              <w:pStyle w:val="NoSpacing"/>
              <w:rPr>
                <w:rFonts w:ascii="Arial" w:hAnsi="Arial" w:cs="Arial"/>
                <w:sz w:val="24"/>
                <w:szCs w:val="24"/>
              </w:rPr>
            </w:pPr>
          </w:p>
        </w:tc>
        <w:tc>
          <w:tcPr>
            <w:tcW w:w="1440" w:type="dxa"/>
            <w:tcBorders>
              <w:left w:val="double" w:sz="4" w:space="0" w:color="auto"/>
            </w:tcBorders>
          </w:tcPr>
          <w:p w14:paraId="5AA1A776" w14:textId="77777777" w:rsidR="00E17BE7" w:rsidRDefault="00E17BE7" w:rsidP="004C256A">
            <w:pPr>
              <w:pStyle w:val="NoSpacing"/>
              <w:rPr>
                <w:rFonts w:ascii="Arial" w:hAnsi="Arial" w:cs="Arial"/>
                <w:sz w:val="24"/>
                <w:szCs w:val="24"/>
              </w:rPr>
            </w:pPr>
          </w:p>
        </w:tc>
        <w:tc>
          <w:tcPr>
            <w:tcW w:w="1584" w:type="dxa"/>
            <w:tcBorders>
              <w:right w:val="double" w:sz="4" w:space="0" w:color="auto"/>
            </w:tcBorders>
          </w:tcPr>
          <w:p w14:paraId="06A23B0E" w14:textId="77777777" w:rsidR="00E17BE7" w:rsidRDefault="00E17BE7" w:rsidP="004C256A">
            <w:pPr>
              <w:pStyle w:val="NoSpacing"/>
              <w:rPr>
                <w:rFonts w:ascii="Arial" w:hAnsi="Arial" w:cs="Arial"/>
                <w:sz w:val="24"/>
                <w:szCs w:val="24"/>
              </w:rPr>
            </w:pPr>
          </w:p>
        </w:tc>
      </w:tr>
      <w:tr w:rsidR="00E17BE7" w14:paraId="27ABB1E2" w14:textId="77777777" w:rsidTr="00E17BE7">
        <w:trPr>
          <w:trHeight w:val="432"/>
          <w:jc w:val="center"/>
        </w:trPr>
        <w:tc>
          <w:tcPr>
            <w:tcW w:w="1440" w:type="dxa"/>
            <w:tcBorders>
              <w:left w:val="double" w:sz="4" w:space="0" w:color="auto"/>
              <w:bottom w:val="single" w:sz="4" w:space="0" w:color="000000"/>
            </w:tcBorders>
          </w:tcPr>
          <w:p w14:paraId="1F5B5046" w14:textId="77777777" w:rsidR="00E17BE7" w:rsidRDefault="00E17BE7" w:rsidP="004C256A">
            <w:pPr>
              <w:pStyle w:val="NoSpacing"/>
              <w:rPr>
                <w:rFonts w:ascii="Arial" w:hAnsi="Arial" w:cs="Arial"/>
                <w:sz w:val="24"/>
                <w:szCs w:val="24"/>
              </w:rPr>
            </w:pPr>
          </w:p>
        </w:tc>
        <w:tc>
          <w:tcPr>
            <w:tcW w:w="1584" w:type="dxa"/>
            <w:tcBorders>
              <w:bottom w:val="single" w:sz="4" w:space="0" w:color="000000"/>
              <w:right w:val="double" w:sz="4" w:space="0" w:color="auto"/>
            </w:tcBorders>
          </w:tcPr>
          <w:p w14:paraId="0D235A03"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2040CAA2" w14:textId="77777777" w:rsidR="00E17BE7" w:rsidRDefault="00E17BE7" w:rsidP="004C256A">
            <w:pPr>
              <w:pStyle w:val="NoSpacing"/>
              <w:rPr>
                <w:rFonts w:ascii="Arial" w:hAnsi="Arial" w:cs="Arial"/>
                <w:sz w:val="24"/>
                <w:szCs w:val="24"/>
              </w:rPr>
            </w:pPr>
          </w:p>
        </w:tc>
        <w:tc>
          <w:tcPr>
            <w:tcW w:w="1440" w:type="dxa"/>
            <w:tcBorders>
              <w:left w:val="double" w:sz="4" w:space="0" w:color="auto"/>
              <w:bottom w:val="single" w:sz="4" w:space="0" w:color="000000"/>
            </w:tcBorders>
          </w:tcPr>
          <w:p w14:paraId="70AA5C66" w14:textId="77777777" w:rsidR="00E17BE7" w:rsidRDefault="00E17BE7" w:rsidP="004C256A">
            <w:pPr>
              <w:pStyle w:val="NoSpacing"/>
              <w:rPr>
                <w:rFonts w:ascii="Arial" w:hAnsi="Arial" w:cs="Arial"/>
                <w:sz w:val="24"/>
                <w:szCs w:val="24"/>
              </w:rPr>
            </w:pPr>
          </w:p>
        </w:tc>
        <w:tc>
          <w:tcPr>
            <w:tcW w:w="1584" w:type="dxa"/>
            <w:tcBorders>
              <w:bottom w:val="single" w:sz="4" w:space="0" w:color="000000"/>
              <w:right w:val="double" w:sz="4" w:space="0" w:color="auto"/>
            </w:tcBorders>
          </w:tcPr>
          <w:p w14:paraId="52A7B40F"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06B378CC" w14:textId="77777777" w:rsidR="00E17BE7" w:rsidRDefault="00E17BE7" w:rsidP="004C256A">
            <w:pPr>
              <w:pStyle w:val="NoSpacing"/>
              <w:rPr>
                <w:rFonts w:ascii="Arial" w:hAnsi="Arial" w:cs="Arial"/>
                <w:sz w:val="24"/>
                <w:szCs w:val="24"/>
              </w:rPr>
            </w:pPr>
          </w:p>
        </w:tc>
        <w:tc>
          <w:tcPr>
            <w:tcW w:w="1440" w:type="dxa"/>
            <w:tcBorders>
              <w:left w:val="double" w:sz="4" w:space="0" w:color="auto"/>
              <w:bottom w:val="single" w:sz="4" w:space="0" w:color="000000"/>
            </w:tcBorders>
          </w:tcPr>
          <w:p w14:paraId="2E2DD951" w14:textId="77777777" w:rsidR="00E17BE7" w:rsidRDefault="00E17BE7" w:rsidP="004C256A">
            <w:pPr>
              <w:pStyle w:val="NoSpacing"/>
              <w:rPr>
                <w:rFonts w:ascii="Arial" w:hAnsi="Arial" w:cs="Arial"/>
                <w:sz w:val="24"/>
                <w:szCs w:val="24"/>
              </w:rPr>
            </w:pPr>
          </w:p>
        </w:tc>
        <w:tc>
          <w:tcPr>
            <w:tcW w:w="1584" w:type="dxa"/>
            <w:tcBorders>
              <w:bottom w:val="single" w:sz="4" w:space="0" w:color="000000"/>
              <w:right w:val="double" w:sz="4" w:space="0" w:color="auto"/>
            </w:tcBorders>
          </w:tcPr>
          <w:p w14:paraId="2FF6BC89" w14:textId="77777777" w:rsidR="00E17BE7" w:rsidRDefault="00E17BE7" w:rsidP="004C256A">
            <w:pPr>
              <w:pStyle w:val="NoSpacing"/>
              <w:rPr>
                <w:rFonts w:ascii="Arial" w:hAnsi="Arial" w:cs="Arial"/>
                <w:sz w:val="24"/>
                <w:szCs w:val="24"/>
              </w:rPr>
            </w:pPr>
          </w:p>
        </w:tc>
      </w:tr>
      <w:tr w:rsidR="00E17BE7" w14:paraId="23C93DA2" w14:textId="77777777" w:rsidTr="00E17BE7">
        <w:trPr>
          <w:trHeight w:val="432"/>
          <w:jc w:val="center"/>
        </w:trPr>
        <w:tc>
          <w:tcPr>
            <w:tcW w:w="1440" w:type="dxa"/>
            <w:tcBorders>
              <w:left w:val="double" w:sz="4" w:space="0" w:color="auto"/>
              <w:bottom w:val="double" w:sz="4" w:space="0" w:color="auto"/>
            </w:tcBorders>
          </w:tcPr>
          <w:p w14:paraId="00D3E3FA" w14:textId="77777777" w:rsidR="00E17BE7" w:rsidRDefault="00E17BE7" w:rsidP="004C256A">
            <w:pPr>
              <w:pStyle w:val="NoSpacing"/>
              <w:rPr>
                <w:rFonts w:ascii="Arial" w:hAnsi="Arial" w:cs="Arial"/>
                <w:sz w:val="24"/>
                <w:szCs w:val="24"/>
              </w:rPr>
            </w:pPr>
          </w:p>
        </w:tc>
        <w:tc>
          <w:tcPr>
            <w:tcW w:w="1584" w:type="dxa"/>
            <w:tcBorders>
              <w:bottom w:val="double" w:sz="4" w:space="0" w:color="auto"/>
              <w:right w:val="double" w:sz="4" w:space="0" w:color="auto"/>
            </w:tcBorders>
          </w:tcPr>
          <w:p w14:paraId="5BDD9C20"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5FBB5B34" w14:textId="77777777" w:rsidR="00E17BE7" w:rsidRDefault="00E17BE7" w:rsidP="004C256A">
            <w:pPr>
              <w:pStyle w:val="NoSpacing"/>
              <w:rPr>
                <w:rFonts w:ascii="Arial" w:hAnsi="Arial" w:cs="Arial"/>
                <w:sz w:val="24"/>
                <w:szCs w:val="24"/>
              </w:rPr>
            </w:pPr>
          </w:p>
        </w:tc>
        <w:tc>
          <w:tcPr>
            <w:tcW w:w="1440" w:type="dxa"/>
            <w:tcBorders>
              <w:left w:val="double" w:sz="4" w:space="0" w:color="auto"/>
              <w:bottom w:val="double" w:sz="4" w:space="0" w:color="auto"/>
            </w:tcBorders>
          </w:tcPr>
          <w:p w14:paraId="31A6CE8E" w14:textId="77777777" w:rsidR="00E17BE7" w:rsidRDefault="00E17BE7" w:rsidP="004C256A">
            <w:pPr>
              <w:pStyle w:val="NoSpacing"/>
              <w:rPr>
                <w:rFonts w:ascii="Arial" w:hAnsi="Arial" w:cs="Arial"/>
                <w:sz w:val="24"/>
                <w:szCs w:val="24"/>
              </w:rPr>
            </w:pPr>
          </w:p>
        </w:tc>
        <w:tc>
          <w:tcPr>
            <w:tcW w:w="1584" w:type="dxa"/>
            <w:tcBorders>
              <w:bottom w:val="double" w:sz="4" w:space="0" w:color="auto"/>
              <w:right w:val="double" w:sz="4" w:space="0" w:color="auto"/>
            </w:tcBorders>
          </w:tcPr>
          <w:p w14:paraId="674EF04E" w14:textId="77777777" w:rsidR="00E17BE7" w:rsidRDefault="00E17BE7" w:rsidP="004C256A">
            <w:pPr>
              <w:pStyle w:val="NoSpacing"/>
              <w:rPr>
                <w:rFonts w:ascii="Arial" w:hAnsi="Arial" w:cs="Arial"/>
                <w:sz w:val="24"/>
                <w:szCs w:val="24"/>
              </w:rPr>
            </w:pPr>
          </w:p>
        </w:tc>
        <w:tc>
          <w:tcPr>
            <w:tcW w:w="288" w:type="dxa"/>
            <w:tcBorders>
              <w:top w:val="nil"/>
              <w:left w:val="double" w:sz="4" w:space="0" w:color="auto"/>
              <w:bottom w:val="nil"/>
              <w:right w:val="double" w:sz="4" w:space="0" w:color="auto"/>
            </w:tcBorders>
          </w:tcPr>
          <w:p w14:paraId="5A65CE8E" w14:textId="77777777" w:rsidR="00E17BE7" w:rsidRDefault="00E17BE7" w:rsidP="004C256A">
            <w:pPr>
              <w:pStyle w:val="NoSpacing"/>
              <w:rPr>
                <w:rFonts w:ascii="Arial" w:hAnsi="Arial" w:cs="Arial"/>
                <w:sz w:val="24"/>
                <w:szCs w:val="24"/>
              </w:rPr>
            </w:pPr>
          </w:p>
        </w:tc>
        <w:tc>
          <w:tcPr>
            <w:tcW w:w="1440" w:type="dxa"/>
            <w:tcBorders>
              <w:left w:val="double" w:sz="4" w:space="0" w:color="auto"/>
              <w:bottom w:val="double" w:sz="4" w:space="0" w:color="auto"/>
            </w:tcBorders>
          </w:tcPr>
          <w:p w14:paraId="0EB1FED9" w14:textId="77777777" w:rsidR="00E17BE7" w:rsidRDefault="00E17BE7" w:rsidP="004C256A">
            <w:pPr>
              <w:pStyle w:val="NoSpacing"/>
              <w:rPr>
                <w:rFonts w:ascii="Arial" w:hAnsi="Arial" w:cs="Arial"/>
                <w:sz w:val="24"/>
                <w:szCs w:val="24"/>
              </w:rPr>
            </w:pPr>
          </w:p>
        </w:tc>
        <w:tc>
          <w:tcPr>
            <w:tcW w:w="1584" w:type="dxa"/>
            <w:tcBorders>
              <w:bottom w:val="double" w:sz="4" w:space="0" w:color="auto"/>
              <w:right w:val="double" w:sz="4" w:space="0" w:color="auto"/>
            </w:tcBorders>
          </w:tcPr>
          <w:p w14:paraId="5D8A7577" w14:textId="77777777" w:rsidR="00E17BE7" w:rsidRDefault="00E17BE7" w:rsidP="004C256A">
            <w:pPr>
              <w:pStyle w:val="NoSpacing"/>
              <w:rPr>
                <w:rFonts w:ascii="Arial" w:hAnsi="Arial" w:cs="Arial"/>
                <w:sz w:val="24"/>
                <w:szCs w:val="24"/>
              </w:rPr>
            </w:pPr>
          </w:p>
        </w:tc>
      </w:tr>
    </w:tbl>
    <w:p w14:paraId="2C9D6C6E" w14:textId="77777777" w:rsidR="00721633" w:rsidRPr="00721633" w:rsidRDefault="00721633" w:rsidP="00721633">
      <w:pPr>
        <w:rPr>
          <w:rStyle w:val="BookTitle"/>
          <w:rFonts w:cstheme="minorHAnsi"/>
          <w:b w:val="0"/>
          <w:sz w:val="24"/>
          <w:szCs w:val="24"/>
        </w:rPr>
      </w:pPr>
    </w:p>
    <w:sectPr w:rsidR="00721633" w:rsidRPr="00721633" w:rsidSect="00275D8E">
      <w:headerReference w:type="default" r:id="rId16"/>
      <w:footerReference w:type="default" r:id="rId17"/>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F429" w14:textId="77777777" w:rsidR="001858FE" w:rsidRDefault="001858FE" w:rsidP="00ED523C">
      <w:pPr>
        <w:spacing w:after="0" w:line="240" w:lineRule="auto"/>
      </w:pPr>
      <w:r>
        <w:separator/>
      </w:r>
    </w:p>
  </w:endnote>
  <w:endnote w:type="continuationSeparator" w:id="0">
    <w:p w14:paraId="5AAB7268" w14:textId="77777777" w:rsidR="001858FE" w:rsidRDefault="001858FE" w:rsidP="00E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4566" w14:textId="7EC150EC" w:rsidR="00DC1BD4" w:rsidRPr="00AD32E8" w:rsidRDefault="00B23A4D" w:rsidP="000B064C">
    <w:pPr>
      <w:pStyle w:val="Footer"/>
      <w:tabs>
        <w:tab w:val="clear" w:pos="4680"/>
        <w:tab w:val="center" w:pos="4320"/>
      </w:tabs>
      <w:rPr>
        <w:sz w:val="20"/>
        <w:szCs w:val="20"/>
      </w:rPr>
    </w:pPr>
    <w:r w:rsidRPr="00AD32E8">
      <w:rPr>
        <w:sz w:val="20"/>
        <w:szCs w:val="20"/>
      </w:rPr>
      <w:t>Office of Environmental He</w:t>
    </w:r>
    <w:r w:rsidR="00AD32E8" w:rsidRPr="00AD32E8">
      <w:rPr>
        <w:sz w:val="20"/>
        <w:szCs w:val="20"/>
      </w:rPr>
      <w:t>alth &amp; Safety at (313) 577 1200</w:t>
    </w:r>
    <w:r w:rsidR="002C00B3">
      <w:rPr>
        <w:sz w:val="20"/>
        <w:szCs w:val="20"/>
      </w:rPr>
      <w:t xml:space="preserve"> </w:t>
    </w:r>
    <w:r w:rsidR="002C00B3">
      <w:rPr>
        <w:sz w:val="20"/>
        <w:szCs w:val="20"/>
      </w:rPr>
      <w:tab/>
    </w:r>
    <w:r w:rsidR="000B064C">
      <w:rPr>
        <w:sz w:val="20"/>
        <w:szCs w:val="20"/>
      </w:rPr>
      <w:t>22</w:t>
    </w:r>
    <w:r w:rsidR="0042312C" w:rsidRPr="0042312C">
      <w:rPr>
        <w:sz w:val="20"/>
        <w:szCs w:val="20"/>
      </w:rPr>
      <w:t>-00</w:t>
    </w:r>
    <w:r w:rsidR="00B83CFB">
      <w:rPr>
        <w:sz w:val="20"/>
        <w:szCs w:val="20"/>
      </w:rPr>
      <w:t>2</w:t>
    </w:r>
    <w:r w:rsidR="0042312C" w:rsidRPr="0042312C">
      <w:rPr>
        <w:sz w:val="20"/>
        <w:szCs w:val="20"/>
      </w:rPr>
      <w:t>F_FactSheet</w:t>
    </w:r>
    <w:r w:rsidR="000B064C">
      <w:rPr>
        <w:sz w:val="20"/>
        <w:szCs w:val="20"/>
      </w:rPr>
      <w:t>_Picric Acid</w:t>
    </w:r>
    <w:r w:rsidR="002C00B3">
      <w:rPr>
        <w:sz w:val="20"/>
        <w:szCs w:val="20"/>
      </w:rPr>
      <w:t xml:space="preserve"> </w:t>
    </w:r>
    <w:r w:rsidR="000B064C">
      <w:rPr>
        <w:sz w:val="20"/>
        <w:szCs w:val="20"/>
      </w:rPr>
      <w:t xml:space="preserve">- </w:t>
    </w:r>
    <w:r w:rsidR="002C00B3">
      <w:rPr>
        <w:sz w:val="20"/>
        <w:szCs w:val="20"/>
      </w:rPr>
      <w:t xml:space="preserve">Rev </w:t>
    </w:r>
    <w:r w:rsidR="00F55037">
      <w:rPr>
        <w:sz w:val="20"/>
        <w:szCs w:val="20"/>
      </w:rPr>
      <w:t>10/6</w:t>
    </w:r>
    <w:r w:rsidR="000B064C">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7BBE" w14:textId="77777777" w:rsidR="001858FE" w:rsidRDefault="001858FE" w:rsidP="00ED523C">
      <w:pPr>
        <w:spacing w:after="0" w:line="240" w:lineRule="auto"/>
      </w:pPr>
      <w:r>
        <w:separator/>
      </w:r>
    </w:p>
  </w:footnote>
  <w:footnote w:type="continuationSeparator" w:id="0">
    <w:p w14:paraId="60D686F3" w14:textId="77777777" w:rsidR="001858FE" w:rsidRDefault="001858FE" w:rsidP="00ED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637" w14:textId="69AF8341" w:rsidR="00F90D50" w:rsidRPr="005355FB" w:rsidRDefault="005355FB" w:rsidP="005355FB">
    <w:pPr>
      <w:pStyle w:val="Header"/>
      <w:jc w:val="center"/>
    </w:pPr>
    <w:r>
      <w:rPr>
        <w:rFonts w:ascii="Helvetica" w:hAnsi="Helvetica"/>
        <w:noProof/>
        <w:color w:val="0A483F"/>
      </w:rPr>
      <w:drawing>
        <wp:inline distT="0" distB="0" distL="0" distR="0" wp14:anchorId="7E65F88B" wp14:editId="28FCE7D4">
          <wp:extent cx="1428750" cy="333375"/>
          <wp:effectExtent l="0" t="0" r="0" b="9525"/>
          <wp:docPr id="1" name="Picture 1" descr="Wayn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Pr>
        <w:noProof/>
      </w:rPr>
      <w:drawing>
        <wp:inline distT="0" distB="0" distL="0" distR="0" wp14:anchorId="09568942" wp14:editId="57DC6944">
          <wp:extent cx="605563" cy="457200"/>
          <wp:effectExtent l="0" t="0" r="0" b="0"/>
          <wp:docPr id="2" name="Picture 2" descr="Office of Environmental Heath and Safety Logo" title="Environmental Health Safet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hslogo-colo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5563"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54C"/>
    <w:multiLevelType w:val="hybridMultilevel"/>
    <w:tmpl w:val="5C54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37246"/>
    <w:multiLevelType w:val="hybridMultilevel"/>
    <w:tmpl w:val="B2F86B7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A95D92"/>
    <w:multiLevelType w:val="hybridMultilevel"/>
    <w:tmpl w:val="1CD4692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8480845"/>
    <w:multiLevelType w:val="hybridMultilevel"/>
    <w:tmpl w:val="3E00D460"/>
    <w:lvl w:ilvl="0" w:tplc="FFFFFFFF">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96F4334"/>
    <w:multiLevelType w:val="hybridMultilevel"/>
    <w:tmpl w:val="A9FCB9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133961"/>
    <w:multiLevelType w:val="hybridMultilevel"/>
    <w:tmpl w:val="F8F21F1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B53A72"/>
    <w:multiLevelType w:val="hybridMultilevel"/>
    <w:tmpl w:val="5C6C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2B7372"/>
    <w:multiLevelType w:val="hybridMultilevel"/>
    <w:tmpl w:val="6F7A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E202E4"/>
    <w:multiLevelType w:val="hybridMultilevel"/>
    <w:tmpl w:val="AD88E9E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3C10942"/>
    <w:multiLevelType w:val="hybridMultilevel"/>
    <w:tmpl w:val="B5FC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85E75"/>
    <w:multiLevelType w:val="hybridMultilevel"/>
    <w:tmpl w:val="6E7E73DC"/>
    <w:lvl w:ilvl="0" w:tplc="FFFFFFFF">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E72384F"/>
    <w:multiLevelType w:val="hybridMultilevel"/>
    <w:tmpl w:val="F6C0ED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7F36EF"/>
    <w:multiLevelType w:val="hybridMultilevel"/>
    <w:tmpl w:val="4B6A71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974F35"/>
    <w:multiLevelType w:val="hybridMultilevel"/>
    <w:tmpl w:val="EE8E4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A02A1B"/>
    <w:multiLevelType w:val="hybridMultilevel"/>
    <w:tmpl w:val="E28819B4"/>
    <w:lvl w:ilvl="0" w:tplc="FFFFFFFF">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DD32B0B"/>
    <w:multiLevelType w:val="hybridMultilevel"/>
    <w:tmpl w:val="7FF410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96F00"/>
    <w:multiLevelType w:val="hybridMultilevel"/>
    <w:tmpl w:val="663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6415A"/>
    <w:multiLevelType w:val="hybridMultilevel"/>
    <w:tmpl w:val="A3B6055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931A47"/>
    <w:multiLevelType w:val="hybridMultilevel"/>
    <w:tmpl w:val="755E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759101">
    <w:abstractNumId w:val="15"/>
  </w:num>
  <w:num w:numId="2" w16cid:durableId="2047365114">
    <w:abstractNumId w:val="1"/>
  </w:num>
  <w:num w:numId="3" w16cid:durableId="663438797">
    <w:abstractNumId w:val="11"/>
  </w:num>
  <w:num w:numId="4" w16cid:durableId="1849716223">
    <w:abstractNumId w:val="4"/>
  </w:num>
  <w:num w:numId="5" w16cid:durableId="805782654">
    <w:abstractNumId w:val="7"/>
  </w:num>
  <w:num w:numId="6" w16cid:durableId="1356924955">
    <w:abstractNumId w:val="12"/>
  </w:num>
  <w:num w:numId="7" w16cid:durableId="1698970382">
    <w:abstractNumId w:val="0"/>
  </w:num>
  <w:num w:numId="8" w16cid:durableId="1331758334">
    <w:abstractNumId w:val="18"/>
  </w:num>
  <w:num w:numId="9" w16cid:durableId="134027727">
    <w:abstractNumId w:val="19"/>
  </w:num>
  <w:num w:numId="10" w16cid:durableId="1416590968">
    <w:abstractNumId w:val="16"/>
  </w:num>
  <w:num w:numId="11" w16cid:durableId="1060133672">
    <w:abstractNumId w:val="17"/>
  </w:num>
  <w:num w:numId="12" w16cid:durableId="580216276">
    <w:abstractNumId w:val="5"/>
  </w:num>
  <w:num w:numId="13" w16cid:durableId="1858152093">
    <w:abstractNumId w:val="10"/>
  </w:num>
  <w:num w:numId="14" w16cid:durableId="1356080380">
    <w:abstractNumId w:val="14"/>
  </w:num>
  <w:num w:numId="15" w16cid:durableId="2054882912">
    <w:abstractNumId w:val="9"/>
  </w:num>
  <w:num w:numId="16" w16cid:durableId="1934239729">
    <w:abstractNumId w:val="13"/>
  </w:num>
  <w:num w:numId="17" w16cid:durableId="922421547">
    <w:abstractNumId w:val="6"/>
  </w:num>
  <w:num w:numId="18" w16cid:durableId="1399287140">
    <w:abstractNumId w:val="2"/>
  </w:num>
  <w:num w:numId="19" w16cid:durableId="378558053">
    <w:abstractNumId w:val="8"/>
  </w:num>
  <w:num w:numId="20" w16cid:durableId="129158899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78"/>
    <w:rsid w:val="00011827"/>
    <w:rsid w:val="00014DFF"/>
    <w:rsid w:val="0003476B"/>
    <w:rsid w:val="00041E8B"/>
    <w:rsid w:val="00043E47"/>
    <w:rsid w:val="000603F8"/>
    <w:rsid w:val="00062583"/>
    <w:rsid w:val="00063E09"/>
    <w:rsid w:val="00070410"/>
    <w:rsid w:val="000766E4"/>
    <w:rsid w:val="000875ED"/>
    <w:rsid w:val="000B064C"/>
    <w:rsid w:val="000C0537"/>
    <w:rsid w:val="000C1B01"/>
    <w:rsid w:val="000C3C01"/>
    <w:rsid w:val="000D1F11"/>
    <w:rsid w:val="00121B21"/>
    <w:rsid w:val="00135E4C"/>
    <w:rsid w:val="00141EBA"/>
    <w:rsid w:val="00144C1C"/>
    <w:rsid w:val="00146EF8"/>
    <w:rsid w:val="00160568"/>
    <w:rsid w:val="0016536C"/>
    <w:rsid w:val="0018554D"/>
    <w:rsid w:val="001858FE"/>
    <w:rsid w:val="001A41AC"/>
    <w:rsid w:val="001B100D"/>
    <w:rsid w:val="001B5986"/>
    <w:rsid w:val="001E0058"/>
    <w:rsid w:val="001E12FF"/>
    <w:rsid w:val="0021196A"/>
    <w:rsid w:val="0021263E"/>
    <w:rsid w:val="00216733"/>
    <w:rsid w:val="00217A23"/>
    <w:rsid w:val="00227308"/>
    <w:rsid w:val="00237265"/>
    <w:rsid w:val="00242DCE"/>
    <w:rsid w:val="00244458"/>
    <w:rsid w:val="002602AC"/>
    <w:rsid w:val="00262BA3"/>
    <w:rsid w:val="002726C7"/>
    <w:rsid w:val="0027433F"/>
    <w:rsid w:val="00275D8E"/>
    <w:rsid w:val="00281942"/>
    <w:rsid w:val="002859A7"/>
    <w:rsid w:val="0029281B"/>
    <w:rsid w:val="00297E84"/>
    <w:rsid w:val="002B78CF"/>
    <w:rsid w:val="002C00B3"/>
    <w:rsid w:val="002D555A"/>
    <w:rsid w:val="002E1780"/>
    <w:rsid w:val="002F171C"/>
    <w:rsid w:val="002F6569"/>
    <w:rsid w:val="003149CB"/>
    <w:rsid w:val="003302B7"/>
    <w:rsid w:val="00357B16"/>
    <w:rsid w:val="003713AC"/>
    <w:rsid w:val="003753E5"/>
    <w:rsid w:val="00375796"/>
    <w:rsid w:val="003857DA"/>
    <w:rsid w:val="003979CE"/>
    <w:rsid w:val="003A5F1D"/>
    <w:rsid w:val="003E1777"/>
    <w:rsid w:val="003E2FFB"/>
    <w:rsid w:val="003E3840"/>
    <w:rsid w:val="003E4683"/>
    <w:rsid w:val="003E6B57"/>
    <w:rsid w:val="003F0ED1"/>
    <w:rsid w:val="004006BC"/>
    <w:rsid w:val="00401649"/>
    <w:rsid w:val="004078B8"/>
    <w:rsid w:val="0042238B"/>
    <w:rsid w:val="0042312C"/>
    <w:rsid w:val="004266EB"/>
    <w:rsid w:val="004329E5"/>
    <w:rsid w:val="00445FCD"/>
    <w:rsid w:val="004861CA"/>
    <w:rsid w:val="004907D8"/>
    <w:rsid w:val="004C0185"/>
    <w:rsid w:val="004C13EF"/>
    <w:rsid w:val="004F3084"/>
    <w:rsid w:val="004F551E"/>
    <w:rsid w:val="00506ADF"/>
    <w:rsid w:val="00514FDF"/>
    <w:rsid w:val="0053233D"/>
    <w:rsid w:val="005355FB"/>
    <w:rsid w:val="00546536"/>
    <w:rsid w:val="00550366"/>
    <w:rsid w:val="00565BAD"/>
    <w:rsid w:val="00571FA6"/>
    <w:rsid w:val="00581047"/>
    <w:rsid w:val="0058634B"/>
    <w:rsid w:val="0059009F"/>
    <w:rsid w:val="0059295C"/>
    <w:rsid w:val="005C3704"/>
    <w:rsid w:val="005C5B1F"/>
    <w:rsid w:val="005D3510"/>
    <w:rsid w:val="006067CC"/>
    <w:rsid w:val="00607B23"/>
    <w:rsid w:val="00607E9C"/>
    <w:rsid w:val="006236EF"/>
    <w:rsid w:val="00631BC1"/>
    <w:rsid w:val="00647D7A"/>
    <w:rsid w:val="00652E0E"/>
    <w:rsid w:val="00665ACC"/>
    <w:rsid w:val="0067141B"/>
    <w:rsid w:val="006A6097"/>
    <w:rsid w:val="006B730B"/>
    <w:rsid w:val="006C5291"/>
    <w:rsid w:val="006C658A"/>
    <w:rsid w:val="006C79F7"/>
    <w:rsid w:val="006D0F07"/>
    <w:rsid w:val="006E6D4A"/>
    <w:rsid w:val="00706318"/>
    <w:rsid w:val="00706530"/>
    <w:rsid w:val="00721633"/>
    <w:rsid w:val="007269E6"/>
    <w:rsid w:val="007353F1"/>
    <w:rsid w:val="00735C53"/>
    <w:rsid w:val="0074077D"/>
    <w:rsid w:val="0074179B"/>
    <w:rsid w:val="00743240"/>
    <w:rsid w:val="007473C7"/>
    <w:rsid w:val="007574E8"/>
    <w:rsid w:val="00764A7D"/>
    <w:rsid w:val="00764C51"/>
    <w:rsid w:val="00764FE0"/>
    <w:rsid w:val="007727D5"/>
    <w:rsid w:val="0078573E"/>
    <w:rsid w:val="0079196E"/>
    <w:rsid w:val="0079500B"/>
    <w:rsid w:val="00795EE1"/>
    <w:rsid w:val="007A0C0A"/>
    <w:rsid w:val="007B2E0B"/>
    <w:rsid w:val="007B39A2"/>
    <w:rsid w:val="007C5786"/>
    <w:rsid w:val="007D1C87"/>
    <w:rsid w:val="007D5445"/>
    <w:rsid w:val="007E69C6"/>
    <w:rsid w:val="007F0696"/>
    <w:rsid w:val="007F074D"/>
    <w:rsid w:val="007F5A70"/>
    <w:rsid w:val="007F7AC5"/>
    <w:rsid w:val="008076BC"/>
    <w:rsid w:val="00816D97"/>
    <w:rsid w:val="00823C1A"/>
    <w:rsid w:val="0082475D"/>
    <w:rsid w:val="00830507"/>
    <w:rsid w:val="00846DD7"/>
    <w:rsid w:val="00860917"/>
    <w:rsid w:val="008731C3"/>
    <w:rsid w:val="00880644"/>
    <w:rsid w:val="008901E7"/>
    <w:rsid w:val="0089104C"/>
    <w:rsid w:val="008D1BC6"/>
    <w:rsid w:val="008E705A"/>
    <w:rsid w:val="008F058A"/>
    <w:rsid w:val="008F3F30"/>
    <w:rsid w:val="00911F18"/>
    <w:rsid w:val="00920ABE"/>
    <w:rsid w:val="00924128"/>
    <w:rsid w:val="00927A97"/>
    <w:rsid w:val="00947D06"/>
    <w:rsid w:val="009650CF"/>
    <w:rsid w:val="0097391A"/>
    <w:rsid w:val="00986675"/>
    <w:rsid w:val="00992B81"/>
    <w:rsid w:val="009A3C5F"/>
    <w:rsid w:val="009B7138"/>
    <w:rsid w:val="009C7C52"/>
    <w:rsid w:val="009D312A"/>
    <w:rsid w:val="009D38C4"/>
    <w:rsid w:val="009E103D"/>
    <w:rsid w:val="009E2F20"/>
    <w:rsid w:val="009F10ED"/>
    <w:rsid w:val="00A073EB"/>
    <w:rsid w:val="00A07CF5"/>
    <w:rsid w:val="00A259AC"/>
    <w:rsid w:val="00A2643C"/>
    <w:rsid w:val="00A40408"/>
    <w:rsid w:val="00A5396F"/>
    <w:rsid w:val="00A54193"/>
    <w:rsid w:val="00A61D47"/>
    <w:rsid w:val="00A679B8"/>
    <w:rsid w:val="00A75F0B"/>
    <w:rsid w:val="00A85A76"/>
    <w:rsid w:val="00AB341C"/>
    <w:rsid w:val="00AB6721"/>
    <w:rsid w:val="00AC2B6E"/>
    <w:rsid w:val="00AC3A1F"/>
    <w:rsid w:val="00AD09D0"/>
    <w:rsid w:val="00AD32E8"/>
    <w:rsid w:val="00AD4DE3"/>
    <w:rsid w:val="00AD7B70"/>
    <w:rsid w:val="00AE0447"/>
    <w:rsid w:val="00AE60B2"/>
    <w:rsid w:val="00AF2F5A"/>
    <w:rsid w:val="00B23A4D"/>
    <w:rsid w:val="00B26CE7"/>
    <w:rsid w:val="00B3454B"/>
    <w:rsid w:val="00B34ADB"/>
    <w:rsid w:val="00B35434"/>
    <w:rsid w:val="00B35DD0"/>
    <w:rsid w:val="00B37C79"/>
    <w:rsid w:val="00B472CC"/>
    <w:rsid w:val="00B638C0"/>
    <w:rsid w:val="00B642E6"/>
    <w:rsid w:val="00B67207"/>
    <w:rsid w:val="00B74290"/>
    <w:rsid w:val="00B76518"/>
    <w:rsid w:val="00B768E6"/>
    <w:rsid w:val="00B7733E"/>
    <w:rsid w:val="00B83CFB"/>
    <w:rsid w:val="00BA15F4"/>
    <w:rsid w:val="00BA1651"/>
    <w:rsid w:val="00BD4478"/>
    <w:rsid w:val="00C0209D"/>
    <w:rsid w:val="00C04CE7"/>
    <w:rsid w:val="00C32935"/>
    <w:rsid w:val="00C40599"/>
    <w:rsid w:val="00C42991"/>
    <w:rsid w:val="00C43D46"/>
    <w:rsid w:val="00C4530B"/>
    <w:rsid w:val="00C517FA"/>
    <w:rsid w:val="00C539F4"/>
    <w:rsid w:val="00C542CF"/>
    <w:rsid w:val="00C5651B"/>
    <w:rsid w:val="00C568C9"/>
    <w:rsid w:val="00C5758B"/>
    <w:rsid w:val="00C6462C"/>
    <w:rsid w:val="00C66AC6"/>
    <w:rsid w:val="00C711E0"/>
    <w:rsid w:val="00C74264"/>
    <w:rsid w:val="00C9064A"/>
    <w:rsid w:val="00C90F63"/>
    <w:rsid w:val="00C96C30"/>
    <w:rsid w:val="00C97CBE"/>
    <w:rsid w:val="00CA687B"/>
    <w:rsid w:val="00CB4E9A"/>
    <w:rsid w:val="00CB55EE"/>
    <w:rsid w:val="00CC3028"/>
    <w:rsid w:val="00CD5A74"/>
    <w:rsid w:val="00CE727E"/>
    <w:rsid w:val="00CF430E"/>
    <w:rsid w:val="00D00A6E"/>
    <w:rsid w:val="00D01BE8"/>
    <w:rsid w:val="00D02D12"/>
    <w:rsid w:val="00D0391A"/>
    <w:rsid w:val="00D04670"/>
    <w:rsid w:val="00D10CBF"/>
    <w:rsid w:val="00D11394"/>
    <w:rsid w:val="00D268EA"/>
    <w:rsid w:val="00D510FD"/>
    <w:rsid w:val="00D543F4"/>
    <w:rsid w:val="00D71A05"/>
    <w:rsid w:val="00D74615"/>
    <w:rsid w:val="00D80052"/>
    <w:rsid w:val="00D801AA"/>
    <w:rsid w:val="00D97DC0"/>
    <w:rsid w:val="00DA0071"/>
    <w:rsid w:val="00DA2CD9"/>
    <w:rsid w:val="00DA5132"/>
    <w:rsid w:val="00DA5981"/>
    <w:rsid w:val="00DC1BD4"/>
    <w:rsid w:val="00DD558A"/>
    <w:rsid w:val="00DE5A90"/>
    <w:rsid w:val="00DE7531"/>
    <w:rsid w:val="00DF76A8"/>
    <w:rsid w:val="00E15ADE"/>
    <w:rsid w:val="00E17BE7"/>
    <w:rsid w:val="00E2401B"/>
    <w:rsid w:val="00E26AF0"/>
    <w:rsid w:val="00E35BD0"/>
    <w:rsid w:val="00E42211"/>
    <w:rsid w:val="00E5612C"/>
    <w:rsid w:val="00E5696C"/>
    <w:rsid w:val="00E713BD"/>
    <w:rsid w:val="00E7785F"/>
    <w:rsid w:val="00E843F8"/>
    <w:rsid w:val="00E93FB5"/>
    <w:rsid w:val="00E97B78"/>
    <w:rsid w:val="00EC5BD3"/>
    <w:rsid w:val="00ED1B85"/>
    <w:rsid w:val="00ED523C"/>
    <w:rsid w:val="00ED5378"/>
    <w:rsid w:val="00EE097B"/>
    <w:rsid w:val="00EF4482"/>
    <w:rsid w:val="00F001DA"/>
    <w:rsid w:val="00F07E9D"/>
    <w:rsid w:val="00F27EB5"/>
    <w:rsid w:val="00F51477"/>
    <w:rsid w:val="00F55037"/>
    <w:rsid w:val="00F761B7"/>
    <w:rsid w:val="00F81BB7"/>
    <w:rsid w:val="00F90D50"/>
    <w:rsid w:val="00FB166B"/>
    <w:rsid w:val="00FB2683"/>
    <w:rsid w:val="00FB345E"/>
    <w:rsid w:val="00FE15EB"/>
    <w:rsid w:val="00FF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C86E"/>
  <w15:docId w15:val="{C8D8E5D0-2598-4B61-8837-031D35F9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55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5378"/>
    <w:rPr>
      <w:color w:val="0000FF"/>
      <w:u w:val="single"/>
    </w:rPr>
  </w:style>
  <w:style w:type="paragraph" w:styleId="ListParagraph">
    <w:name w:val="List Paragraph"/>
    <w:basedOn w:val="Normal"/>
    <w:uiPriority w:val="34"/>
    <w:qFormat/>
    <w:rsid w:val="00ED5378"/>
    <w:pPr>
      <w:ind w:left="720"/>
      <w:contextualSpacing/>
    </w:pPr>
  </w:style>
  <w:style w:type="character" w:styleId="BookTitle">
    <w:name w:val="Book Title"/>
    <w:basedOn w:val="DefaultParagraphFont"/>
    <w:uiPriority w:val="33"/>
    <w:qFormat/>
    <w:rsid w:val="00146EF8"/>
    <w:rPr>
      <w:b/>
      <w:bCs/>
      <w:smallCaps/>
      <w:spacing w:val="5"/>
    </w:rPr>
  </w:style>
  <w:style w:type="paragraph" w:styleId="Header">
    <w:name w:val="header"/>
    <w:basedOn w:val="Normal"/>
    <w:link w:val="HeaderChar"/>
    <w:uiPriority w:val="99"/>
    <w:unhideWhenUsed/>
    <w:rsid w:val="00ED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3C"/>
  </w:style>
  <w:style w:type="paragraph" w:styleId="Footer">
    <w:name w:val="footer"/>
    <w:basedOn w:val="Normal"/>
    <w:link w:val="FooterChar"/>
    <w:uiPriority w:val="99"/>
    <w:unhideWhenUsed/>
    <w:rsid w:val="00ED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3C"/>
  </w:style>
  <w:style w:type="character" w:styleId="FollowedHyperlink">
    <w:name w:val="FollowedHyperlink"/>
    <w:basedOn w:val="DefaultParagraphFont"/>
    <w:uiPriority w:val="99"/>
    <w:semiHidden/>
    <w:unhideWhenUsed/>
    <w:rsid w:val="00BA1651"/>
    <w:rPr>
      <w:color w:val="800080" w:themeColor="followedHyperlink"/>
      <w:u w:val="single"/>
    </w:rPr>
  </w:style>
  <w:style w:type="paragraph" w:styleId="BalloonText">
    <w:name w:val="Balloon Text"/>
    <w:basedOn w:val="Normal"/>
    <w:link w:val="BalloonTextChar"/>
    <w:uiPriority w:val="99"/>
    <w:semiHidden/>
    <w:unhideWhenUsed/>
    <w:rsid w:val="00C9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63"/>
    <w:rPr>
      <w:rFonts w:ascii="Tahoma" w:hAnsi="Tahoma" w:cs="Tahoma"/>
      <w:sz w:val="16"/>
      <w:szCs w:val="16"/>
    </w:rPr>
  </w:style>
  <w:style w:type="character" w:customStyle="1" w:styleId="pshyperlink">
    <w:name w:val="pshyperlink"/>
    <w:basedOn w:val="DefaultParagraphFont"/>
    <w:rsid w:val="00160568"/>
  </w:style>
  <w:style w:type="paragraph" w:styleId="NoSpacing">
    <w:name w:val="No Spacing"/>
    <w:uiPriority w:val="1"/>
    <w:qFormat/>
    <w:rsid w:val="0079500B"/>
    <w:pPr>
      <w:spacing w:after="0" w:line="240" w:lineRule="auto"/>
    </w:pPr>
  </w:style>
  <w:style w:type="character" w:styleId="CommentReference">
    <w:name w:val="annotation reference"/>
    <w:basedOn w:val="DefaultParagraphFont"/>
    <w:uiPriority w:val="99"/>
    <w:semiHidden/>
    <w:unhideWhenUsed/>
    <w:rsid w:val="00445FCD"/>
    <w:rPr>
      <w:sz w:val="16"/>
      <w:szCs w:val="16"/>
    </w:rPr>
  </w:style>
  <w:style w:type="paragraph" w:styleId="CommentText">
    <w:name w:val="annotation text"/>
    <w:basedOn w:val="Normal"/>
    <w:link w:val="CommentTextChar"/>
    <w:uiPriority w:val="99"/>
    <w:unhideWhenUsed/>
    <w:rsid w:val="00445FCD"/>
    <w:pPr>
      <w:spacing w:line="240" w:lineRule="auto"/>
    </w:pPr>
    <w:rPr>
      <w:sz w:val="20"/>
      <w:szCs w:val="20"/>
    </w:rPr>
  </w:style>
  <w:style w:type="character" w:customStyle="1" w:styleId="CommentTextChar">
    <w:name w:val="Comment Text Char"/>
    <w:basedOn w:val="DefaultParagraphFont"/>
    <w:link w:val="CommentText"/>
    <w:uiPriority w:val="99"/>
    <w:rsid w:val="00445FCD"/>
    <w:rPr>
      <w:sz w:val="20"/>
      <w:szCs w:val="20"/>
    </w:rPr>
  </w:style>
  <w:style w:type="paragraph" w:styleId="CommentSubject">
    <w:name w:val="annotation subject"/>
    <w:basedOn w:val="CommentText"/>
    <w:next w:val="CommentText"/>
    <w:link w:val="CommentSubjectChar"/>
    <w:uiPriority w:val="99"/>
    <w:semiHidden/>
    <w:unhideWhenUsed/>
    <w:rsid w:val="00445FCD"/>
    <w:rPr>
      <w:b/>
      <w:bCs/>
    </w:rPr>
  </w:style>
  <w:style w:type="character" w:customStyle="1" w:styleId="CommentSubjectChar">
    <w:name w:val="Comment Subject Char"/>
    <w:basedOn w:val="CommentTextChar"/>
    <w:link w:val="CommentSubject"/>
    <w:uiPriority w:val="99"/>
    <w:semiHidden/>
    <w:rsid w:val="00445FCD"/>
    <w:rPr>
      <w:b/>
      <w:bCs/>
      <w:sz w:val="20"/>
      <w:szCs w:val="20"/>
    </w:rPr>
  </w:style>
  <w:style w:type="paragraph" w:styleId="Revision">
    <w:name w:val="Revision"/>
    <w:hidden/>
    <w:uiPriority w:val="99"/>
    <w:semiHidden/>
    <w:rsid w:val="00AF2F5A"/>
    <w:pPr>
      <w:spacing w:after="0" w:line="240" w:lineRule="auto"/>
    </w:pPr>
  </w:style>
  <w:style w:type="character" w:styleId="IntenseReference">
    <w:name w:val="Intense Reference"/>
    <w:basedOn w:val="DefaultParagraphFont"/>
    <w:uiPriority w:val="32"/>
    <w:qFormat/>
    <w:rsid w:val="00FF35B5"/>
    <w:rPr>
      <w:b/>
      <w:bCs/>
      <w:smallCaps/>
      <w:color w:val="C0504D" w:themeColor="accent2"/>
      <w:spacing w:val="5"/>
      <w:u w:val="single"/>
    </w:rPr>
  </w:style>
  <w:style w:type="character" w:customStyle="1" w:styleId="Heading1Char">
    <w:name w:val="Heading 1 Char"/>
    <w:basedOn w:val="DefaultParagraphFont"/>
    <w:link w:val="Heading1"/>
    <w:uiPriority w:val="9"/>
    <w:rsid w:val="00FF35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55F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17BE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E713BD"/>
    <w:rPr>
      <w:color w:val="605E5C"/>
      <w:shd w:val="clear" w:color="auto" w:fill="E1DFDD"/>
    </w:rPr>
  </w:style>
  <w:style w:type="character" w:customStyle="1" w:styleId="UnresolvedMention2">
    <w:name w:val="Unresolved Mention2"/>
    <w:basedOn w:val="DefaultParagraphFont"/>
    <w:uiPriority w:val="99"/>
    <w:semiHidden/>
    <w:unhideWhenUsed/>
    <w:rsid w:val="00C04CE7"/>
    <w:rPr>
      <w:color w:val="605E5C"/>
      <w:shd w:val="clear" w:color="auto" w:fill="E1DFDD"/>
    </w:rPr>
  </w:style>
  <w:style w:type="character" w:customStyle="1" w:styleId="cf01">
    <w:name w:val="cf01"/>
    <w:basedOn w:val="DefaultParagraphFont"/>
    <w:rsid w:val="004C01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chem.ncbi.nlm.nih.gov/compound/69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sellguardianpartner.com/chemical/h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wayne.edu/oehs/chemical/19-002st_lab_specific_chemical_sop_template.docx" TargetMode="External"/><Relationship Id="rId5" Type="http://schemas.openxmlformats.org/officeDocument/2006/relationships/webSettings" Target="webSettings.xml"/><Relationship Id="rId15" Type="http://schemas.openxmlformats.org/officeDocument/2006/relationships/hyperlink" Target="https://oag.ca.gov/sites/all/files/agweb/pdfs/cci/safety/picric.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c.canada.ca/en/dangerous-goods/canutec/picric-acid-picrate-sal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48E0-6B5C-4012-AA32-21FEA022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1840</Words>
  <Characters>10492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Pearson, Richard John</dc:creator>
  <cp:lastModifiedBy>Linda Ritter</cp:lastModifiedBy>
  <cp:revision>4</cp:revision>
  <cp:lastPrinted>2013-07-08T17:10:00Z</cp:lastPrinted>
  <dcterms:created xsi:type="dcterms:W3CDTF">2022-10-06T15:54:00Z</dcterms:created>
  <dcterms:modified xsi:type="dcterms:W3CDTF">2023-10-19T12:39:00Z</dcterms:modified>
</cp:coreProperties>
</file>